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DD" w:rsidRDefault="006C58DD" w:rsidP="006C58DD">
      <w:pPr>
        <w:pStyle w:val="Titolo1"/>
        <w:jc w:val="center"/>
        <w:rPr>
          <w:rFonts w:asciiTheme="minorHAnsi" w:hAnsiTheme="minorHAnsi" w:cstheme="minorHAnsi"/>
          <w:b w:val="0"/>
          <w:sz w:val="36"/>
          <w:szCs w:val="24"/>
        </w:rPr>
      </w:pPr>
      <w:bookmarkStart w:id="0" w:name="_Toc509783927"/>
      <w:r w:rsidRPr="006C58DD">
        <w:rPr>
          <w:rFonts w:asciiTheme="minorHAnsi" w:hAnsiTheme="minorHAnsi" w:cstheme="minorHAnsi"/>
          <w:b w:val="0"/>
          <w:sz w:val="36"/>
          <w:szCs w:val="24"/>
        </w:rPr>
        <w:t xml:space="preserve">COMUNE DI </w:t>
      </w:r>
      <w:r w:rsidR="00234999">
        <w:rPr>
          <w:rFonts w:asciiTheme="minorHAnsi" w:hAnsiTheme="minorHAnsi" w:cstheme="minorHAnsi"/>
          <w:b w:val="0"/>
          <w:sz w:val="36"/>
          <w:szCs w:val="24"/>
        </w:rPr>
        <w:t>POGGIO SAN VICINO</w:t>
      </w:r>
    </w:p>
    <w:p w:rsidR="00054848" w:rsidRPr="00995D12" w:rsidRDefault="00054848" w:rsidP="00054848">
      <w:pPr>
        <w:jc w:val="center"/>
        <w:rPr>
          <w:rFonts w:ascii="Calibri" w:hAnsi="Calibri" w:cs="Calibri"/>
          <w:lang w:eastAsia="en-US"/>
        </w:rPr>
      </w:pPr>
      <w:r w:rsidRPr="00995D12">
        <w:rPr>
          <w:rFonts w:ascii="Calibri" w:hAnsi="Calibri" w:cs="Calibri"/>
          <w:lang w:eastAsia="en-US"/>
        </w:rPr>
        <w:t>-Provincia di Macerata-</w:t>
      </w:r>
    </w:p>
    <w:p w:rsidR="006C58DD" w:rsidRDefault="006C58DD" w:rsidP="006B106C">
      <w:pPr>
        <w:pStyle w:val="Titolo1"/>
        <w:jc w:val="center"/>
        <w:rPr>
          <w:rFonts w:asciiTheme="minorHAnsi" w:hAnsiTheme="minorHAnsi" w:cstheme="minorHAnsi"/>
          <w:sz w:val="24"/>
          <w:szCs w:val="24"/>
        </w:rPr>
      </w:pPr>
      <w:r>
        <w:rPr>
          <w:rFonts w:asciiTheme="minorHAnsi" w:hAnsiTheme="minorHAnsi" w:cstheme="minorHAnsi"/>
          <w:sz w:val="24"/>
          <w:szCs w:val="24"/>
        </w:rPr>
        <w:t>NOTA INTEGRATIV</w:t>
      </w:r>
      <w:r w:rsidR="00054848">
        <w:rPr>
          <w:rFonts w:asciiTheme="minorHAnsi" w:hAnsiTheme="minorHAnsi" w:cstheme="minorHAnsi"/>
          <w:sz w:val="24"/>
          <w:szCs w:val="24"/>
        </w:rPr>
        <w:t>A CONTABILITA’ ECONOMICO PATRIMO</w:t>
      </w:r>
      <w:r>
        <w:rPr>
          <w:rFonts w:asciiTheme="minorHAnsi" w:hAnsiTheme="minorHAnsi" w:cstheme="minorHAnsi"/>
          <w:sz w:val="24"/>
          <w:szCs w:val="24"/>
        </w:rPr>
        <w:t>NIALE</w:t>
      </w:r>
    </w:p>
    <w:p w:rsidR="006C58DD" w:rsidRDefault="006C58DD" w:rsidP="006C58DD">
      <w:pPr>
        <w:rPr>
          <w:lang w:eastAsia="en-US"/>
        </w:rPr>
      </w:pPr>
    </w:p>
    <w:p w:rsidR="006C58DD" w:rsidRPr="006C58DD" w:rsidRDefault="006C58DD" w:rsidP="006C58DD">
      <w:pPr>
        <w:rPr>
          <w:lang w:eastAsia="en-US"/>
        </w:rPr>
      </w:pPr>
    </w:p>
    <w:p w:rsidR="005F7CA9" w:rsidRPr="00C316B0" w:rsidRDefault="005F7CA9" w:rsidP="00FD1C8A">
      <w:pPr>
        <w:pStyle w:val="Titolo1"/>
        <w:jc w:val="both"/>
        <w:rPr>
          <w:rFonts w:asciiTheme="minorHAnsi" w:hAnsiTheme="minorHAnsi" w:cstheme="minorHAnsi"/>
          <w:sz w:val="24"/>
          <w:szCs w:val="24"/>
        </w:rPr>
      </w:pPr>
      <w:r w:rsidRPr="00C316B0">
        <w:rPr>
          <w:rFonts w:asciiTheme="minorHAnsi" w:hAnsiTheme="minorHAnsi" w:cstheme="minorHAnsi"/>
          <w:sz w:val="24"/>
          <w:szCs w:val="24"/>
        </w:rPr>
        <w:t>L’ANALISI ECONOMICO</w:t>
      </w:r>
      <w:r w:rsidR="00CA448C" w:rsidRPr="00C316B0">
        <w:rPr>
          <w:rFonts w:asciiTheme="minorHAnsi" w:hAnsiTheme="minorHAnsi" w:cstheme="minorHAnsi"/>
          <w:sz w:val="24"/>
          <w:szCs w:val="24"/>
        </w:rPr>
        <w:t>-</w:t>
      </w:r>
      <w:r w:rsidRPr="00C316B0">
        <w:rPr>
          <w:rFonts w:asciiTheme="minorHAnsi" w:hAnsiTheme="minorHAnsi" w:cstheme="minorHAnsi"/>
          <w:sz w:val="24"/>
          <w:szCs w:val="24"/>
        </w:rPr>
        <w:t>PATRIMONIALE DELL’</w:t>
      </w:r>
      <w:r w:rsidR="00CA448C" w:rsidRPr="00C316B0">
        <w:rPr>
          <w:rFonts w:asciiTheme="minorHAnsi" w:hAnsiTheme="minorHAnsi" w:cstheme="minorHAnsi"/>
          <w:sz w:val="24"/>
          <w:szCs w:val="24"/>
        </w:rPr>
        <w:t>ESERCIZIO</w:t>
      </w:r>
      <w:r w:rsidRPr="00C316B0">
        <w:rPr>
          <w:rFonts w:asciiTheme="minorHAnsi" w:hAnsiTheme="minorHAnsi" w:cstheme="minorHAnsi"/>
          <w:sz w:val="24"/>
          <w:szCs w:val="24"/>
        </w:rPr>
        <w:t xml:space="preserve"> 201</w:t>
      </w:r>
      <w:bookmarkEnd w:id="0"/>
      <w:r w:rsidR="005F0142" w:rsidRPr="00C316B0">
        <w:rPr>
          <w:rFonts w:asciiTheme="minorHAnsi" w:hAnsiTheme="minorHAnsi" w:cstheme="minorHAnsi"/>
          <w:sz w:val="24"/>
          <w:szCs w:val="24"/>
        </w:rPr>
        <w:t>8</w:t>
      </w:r>
    </w:p>
    <w:p w:rsidR="005F7CA9" w:rsidRPr="00C316B0" w:rsidRDefault="005F7CA9" w:rsidP="00FD1C8A">
      <w:pPr>
        <w:jc w:val="both"/>
        <w:rPr>
          <w:rFonts w:asciiTheme="minorHAnsi" w:hAnsiTheme="minorHAnsi" w:cstheme="minorHAnsi"/>
        </w:rPr>
      </w:pPr>
    </w:p>
    <w:p w:rsidR="00CA448C" w:rsidRPr="00C316B0" w:rsidRDefault="00CA448C" w:rsidP="00FD1C8A">
      <w:pPr>
        <w:pStyle w:val="NormaleWeb"/>
        <w:jc w:val="both"/>
        <w:rPr>
          <w:rFonts w:asciiTheme="minorHAnsi" w:hAnsiTheme="minorHAnsi" w:cstheme="minorHAnsi"/>
        </w:rPr>
      </w:pPr>
      <w:r w:rsidRPr="00C316B0">
        <w:rPr>
          <w:rFonts w:asciiTheme="minorHAnsi" w:hAnsiTheme="minorHAnsi" w:cstheme="minorHAnsi"/>
        </w:rPr>
        <w:t>Con l’entrata in vigore della normativa dell'armonizzazione dei sistemi contabili della pubblica amministrazione</w:t>
      </w:r>
      <w:r w:rsidR="0071149F" w:rsidRPr="00C316B0">
        <w:rPr>
          <w:rFonts w:asciiTheme="minorHAnsi" w:hAnsiTheme="minorHAnsi" w:cstheme="minorHAnsi"/>
        </w:rPr>
        <w:t>,</w:t>
      </w:r>
      <w:r w:rsidRPr="00C316B0">
        <w:rPr>
          <w:rFonts w:asciiTheme="minorHAnsi" w:hAnsiTheme="minorHAnsi" w:cstheme="minorHAnsi"/>
        </w:rPr>
        <w:t xml:space="preserve"> introdotta col D.lgs. 118 del 23 giugno 2011, a decorrere dal rendiconto dell'esercizio 2017 gli Enti </w:t>
      </w:r>
      <w:r w:rsidR="0071149F" w:rsidRPr="00C316B0">
        <w:rPr>
          <w:rFonts w:asciiTheme="minorHAnsi" w:hAnsiTheme="minorHAnsi" w:cstheme="minorHAnsi"/>
        </w:rPr>
        <w:t>locali</w:t>
      </w:r>
      <w:r w:rsidRPr="00C316B0">
        <w:rPr>
          <w:rFonts w:asciiTheme="minorHAnsi" w:hAnsiTheme="minorHAnsi" w:cstheme="minorHAnsi"/>
        </w:rPr>
        <w:t xml:space="preserve"> sono stati chiamati alla redazione della nuova contabilit</w:t>
      </w:r>
      <w:r w:rsidR="00FE76CC" w:rsidRPr="00C316B0">
        <w:rPr>
          <w:rFonts w:asciiTheme="minorHAnsi" w:hAnsiTheme="minorHAnsi" w:cstheme="minorHAnsi"/>
        </w:rPr>
        <w:t>à</w:t>
      </w:r>
      <w:r w:rsidRPr="00C316B0">
        <w:rPr>
          <w:rFonts w:asciiTheme="minorHAnsi" w:hAnsiTheme="minorHAnsi" w:cstheme="minorHAnsi"/>
        </w:rPr>
        <w:t xml:space="preserve"> economico-patrimoniale ed alla predisposizione degli elaborati del rendiconto della gestione sulla base dei nuovi principi e schemi, questi ultimi sostanzialmente rappresentati dall'allegato n. 10 allo stesso decreto. </w:t>
      </w:r>
    </w:p>
    <w:p w:rsidR="00CA448C" w:rsidRPr="00C316B0" w:rsidRDefault="00CA448C" w:rsidP="00FD1C8A">
      <w:pPr>
        <w:pStyle w:val="NormaleWeb"/>
        <w:jc w:val="both"/>
        <w:rPr>
          <w:rFonts w:asciiTheme="minorHAnsi" w:hAnsiTheme="minorHAnsi" w:cstheme="minorHAnsi"/>
        </w:rPr>
      </w:pPr>
      <w:r w:rsidRPr="00C316B0">
        <w:rPr>
          <w:rFonts w:asciiTheme="minorHAnsi" w:hAnsiTheme="minorHAnsi" w:cstheme="minorHAnsi"/>
        </w:rPr>
        <w:t xml:space="preserve">L'armonizzazione ha innovato profondamente i sistemi contabili non solo riguardo agli schemi da utilizzare, ma soprattutto in materia di programmazione, di gestione e di rendicontazione. La modifica sostanziale riguarda principalmente l’introduzione dei principi contabili economico-patrimoniali affiancati ai principi di </w:t>
      </w:r>
      <w:r w:rsidR="00FE76CC" w:rsidRPr="00C316B0">
        <w:rPr>
          <w:rFonts w:asciiTheme="minorHAnsi" w:hAnsiTheme="minorHAnsi" w:cstheme="minorHAnsi"/>
        </w:rPr>
        <w:t xml:space="preserve">contabilità </w:t>
      </w:r>
      <w:r w:rsidRPr="00C316B0">
        <w:rPr>
          <w:rFonts w:asciiTheme="minorHAnsi" w:hAnsiTheme="minorHAnsi" w:cstheme="minorHAnsi"/>
        </w:rPr>
        <w:t xml:space="preserve">finanziaria. </w:t>
      </w:r>
    </w:p>
    <w:p w:rsidR="00CA448C" w:rsidRPr="00C316B0" w:rsidRDefault="00CA448C" w:rsidP="00FD1C8A">
      <w:pPr>
        <w:pStyle w:val="NormaleWeb"/>
        <w:jc w:val="both"/>
        <w:rPr>
          <w:rFonts w:asciiTheme="minorHAnsi" w:hAnsiTheme="minorHAnsi" w:cstheme="minorHAnsi"/>
        </w:rPr>
      </w:pPr>
      <w:r w:rsidRPr="00C316B0">
        <w:rPr>
          <w:rFonts w:asciiTheme="minorHAnsi" w:hAnsiTheme="minorHAnsi" w:cstheme="minorHAnsi"/>
        </w:rPr>
        <w:t xml:space="preserve">La rendicontazione </w:t>
      </w:r>
      <w:r w:rsidR="00FE76CC" w:rsidRPr="00C316B0">
        <w:rPr>
          <w:rFonts w:asciiTheme="minorHAnsi" w:hAnsiTheme="minorHAnsi" w:cstheme="minorHAnsi"/>
        </w:rPr>
        <w:t>avverrà</w:t>
      </w:r>
      <w:r w:rsidRPr="00C316B0">
        <w:rPr>
          <w:rFonts w:asciiTheme="minorHAnsi" w:hAnsiTheme="minorHAnsi" w:cstheme="minorHAnsi"/>
        </w:rPr>
        <w:t xml:space="preserve"> quindi non solo per la parte finanziaria ma anche per la parte economico-patrimoniale adottando i principi della competenza. Il nuovo sistema di scritture contabili prevede di tradurre le operazioni finanziarie in movimenti in partita doppia attraverso una matrice di correlazione, dove ad ogni movimento corrisponde la registrazione in </w:t>
      </w:r>
      <w:r w:rsidR="00FE76CC" w:rsidRPr="00C316B0">
        <w:rPr>
          <w:rFonts w:asciiTheme="minorHAnsi" w:hAnsiTheme="minorHAnsi" w:cstheme="minorHAnsi"/>
        </w:rPr>
        <w:t>contabilità</w:t>
      </w:r>
      <w:r w:rsidR="00C119E8">
        <w:rPr>
          <w:rFonts w:asciiTheme="minorHAnsi" w:hAnsiTheme="minorHAnsi" w:cstheme="minorHAnsi"/>
        </w:rPr>
        <w:t xml:space="preserve"> economico-</w:t>
      </w:r>
      <w:r w:rsidRPr="00C316B0">
        <w:rPr>
          <w:rFonts w:asciiTheme="minorHAnsi" w:hAnsiTheme="minorHAnsi" w:cstheme="minorHAnsi"/>
        </w:rPr>
        <w:t xml:space="preserve">patrimoniale. </w:t>
      </w:r>
    </w:p>
    <w:p w:rsidR="00385F93" w:rsidRPr="00C316B0" w:rsidRDefault="00385F93" w:rsidP="00FD1C8A">
      <w:pPr>
        <w:jc w:val="both"/>
        <w:rPr>
          <w:rFonts w:asciiTheme="minorHAnsi" w:hAnsiTheme="minorHAnsi" w:cstheme="minorHAnsi"/>
        </w:rPr>
      </w:pPr>
      <w:r w:rsidRPr="00C316B0">
        <w:rPr>
          <w:rFonts w:asciiTheme="minorHAnsi" w:hAnsiTheme="minorHAnsi" w:cstheme="minorHAnsi"/>
        </w:rPr>
        <w:t xml:space="preserve">La prima fase </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Il rendiconto dell’esercizio, chiuso al 31 dicembre 201</w:t>
      </w:r>
      <w:r w:rsidR="005F0142" w:rsidRPr="00C316B0">
        <w:rPr>
          <w:rFonts w:asciiTheme="minorHAnsi" w:hAnsiTheme="minorHAnsi" w:cstheme="minorHAnsi"/>
        </w:rPr>
        <w:t>8</w:t>
      </w:r>
      <w:r w:rsidRPr="00C316B0">
        <w:rPr>
          <w:rFonts w:asciiTheme="minorHAnsi" w:hAnsiTheme="minorHAnsi" w:cstheme="minorHAnsi"/>
        </w:rPr>
        <w:t>, costituito dal Conto del Bilancio, dallo Stato Patrimoniale e dal Conto Economico</w:t>
      </w:r>
      <w:r w:rsidR="004F3E93" w:rsidRPr="00C316B0">
        <w:rPr>
          <w:rFonts w:asciiTheme="minorHAnsi" w:hAnsiTheme="minorHAnsi" w:cstheme="minorHAnsi"/>
        </w:rPr>
        <w:t xml:space="preserve"> del Comune di</w:t>
      </w:r>
      <w:r w:rsidR="00FE76CC" w:rsidRPr="00C316B0">
        <w:rPr>
          <w:rFonts w:asciiTheme="minorHAnsi" w:hAnsiTheme="minorHAnsi" w:cstheme="minorHAnsi"/>
        </w:rPr>
        <w:t xml:space="preserve"> </w:t>
      </w:r>
      <w:r w:rsidR="00234999">
        <w:rPr>
          <w:rFonts w:asciiTheme="minorHAnsi" w:hAnsiTheme="minorHAnsi" w:cstheme="minorHAnsi"/>
        </w:rPr>
        <w:t>Poggio San Vicino</w:t>
      </w:r>
      <w:r w:rsidRPr="00C316B0">
        <w:rPr>
          <w:rFonts w:asciiTheme="minorHAnsi" w:hAnsiTheme="minorHAnsi" w:cstheme="minorHAnsi"/>
        </w:rPr>
        <w:t xml:space="preserve"> è stato redatto secondo i criteri previsti dal decreto 23 giugno 2011 n. 118, </w:t>
      </w:r>
      <w:r w:rsidR="005F0142" w:rsidRPr="00C316B0">
        <w:rPr>
          <w:rFonts w:asciiTheme="minorHAnsi" w:hAnsiTheme="minorHAnsi" w:cstheme="minorHAnsi"/>
        </w:rPr>
        <w:t>e successive integrazioni e modificazioni</w:t>
      </w:r>
      <w:r w:rsidRPr="00C316B0">
        <w:rPr>
          <w:rFonts w:asciiTheme="minorHAnsi" w:hAnsiTheme="minorHAnsi" w:cstheme="minorHAnsi"/>
        </w:rPr>
        <w:t>, ed in particolare secondo gli allegati 4/2 – Principio Contabile Applicato della Contabilità Finanziaria e l’allegato 4/3 – Principio Contabile Applicato della Contabilità Economico Patrimoniale.</w:t>
      </w:r>
    </w:p>
    <w:p w:rsidR="005F7CA9" w:rsidRPr="00C316B0" w:rsidRDefault="005F7CA9"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 xml:space="preserve">Il Conto Economico chiude con un risultato </w:t>
      </w:r>
      <w:r w:rsidR="002200C8" w:rsidRPr="00C316B0">
        <w:rPr>
          <w:rFonts w:asciiTheme="minorHAnsi" w:hAnsiTheme="minorHAnsi" w:cstheme="minorHAnsi"/>
        </w:rPr>
        <w:t>positivo</w:t>
      </w:r>
      <w:r w:rsidRPr="00C316B0">
        <w:rPr>
          <w:rFonts w:asciiTheme="minorHAnsi" w:hAnsiTheme="minorHAnsi" w:cstheme="minorHAnsi"/>
        </w:rPr>
        <w:t xml:space="preserve"> di Euro </w:t>
      </w:r>
      <w:r w:rsidR="00E715C1">
        <w:rPr>
          <w:rFonts w:asciiTheme="minorHAnsi" w:hAnsiTheme="minorHAnsi" w:cstheme="minorHAnsi"/>
        </w:rPr>
        <w:t>5.297,17</w:t>
      </w:r>
      <w:r w:rsidR="002200C8" w:rsidRPr="00C316B0">
        <w:rPr>
          <w:rFonts w:asciiTheme="minorHAnsi" w:hAnsiTheme="minorHAnsi" w:cstheme="minorHAnsi"/>
        </w:rPr>
        <w:t xml:space="preserve"> </w:t>
      </w:r>
      <w:r w:rsidRPr="00C316B0">
        <w:rPr>
          <w:rFonts w:asciiTheme="minorHAnsi" w:hAnsiTheme="minorHAnsi" w:cstheme="minorHAnsi"/>
        </w:rPr>
        <w:t>che può essere analizzato nei</w:t>
      </w:r>
      <w:r w:rsidR="00FE76CC" w:rsidRPr="00C316B0">
        <w:rPr>
          <w:rFonts w:asciiTheme="minorHAnsi" w:hAnsiTheme="minorHAnsi" w:cstheme="minorHAnsi"/>
        </w:rPr>
        <w:t xml:space="preserve"> </w:t>
      </w:r>
      <w:r w:rsidRPr="00C316B0">
        <w:rPr>
          <w:rFonts w:asciiTheme="minorHAnsi" w:hAnsiTheme="minorHAnsi" w:cstheme="minorHAnsi"/>
        </w:rPr>
        <w:t>macroaggregati tramite i quali tale risultato economico si forma.</w:t>
      </w:r>
    </w:p>
    <w:p w:rsidR="009709D4" w:rsidRDefault="009709D4">
      <w:pPr>
        <w:spacing w:after="160" w:line="259" w:lineRule="auto"/>
        <w:rPr>
          <w:rFonts w:asciiTheme="minorHAnsi" w:hAnsiTheme="minorHAnsi" w:cstheme="minorHAnsi"/>
        </w:rPr>
      </w:pPr>
      <w:r>
        <w:rPr>
          <w:rFonts w:asciiTheme="minorHAnsi" w:hAnsiTheme="minorHAnsi" w:cstheme="minorHAnsi"/>
        </w:rPr>
        <w:br w:type="page"/>
      </w:r>
    </w:p>
    <w:p w:rsidR="00A32921" w:rsidRDefault="00A32921" w:rsidP="00FD1C8A">
      <w:pPr>
        <w:jc w:val="both"/>
        <w:rPr>
          <w:rFonts w:asciiTheme="minorHAnsi" w:hAnsiTheme="minorHAnsi" w:cstheme="minorHAnsi"/>
        </w:rPr>
      </w:pPr>
    </w:p>
    <w:tbl>
      <w:tblPr>
        <w:tblW w:w="5000" w:type="pct"/>
        <w:tblCellMar>
          <w:left w:w="70" w:type="dxa"/>
          <w:right w:w="70" w:type="dxa"/>
        </w:tblCellMar>
        <w:tblLook w:val="04A0"/>
      </w:tblPr>
      <w:tblGrid>
        <w:gridCol w:w="8059"/>
        <w:gridCol w:w="1719"/>
      </w:tblGrid>
      <w:tr w:rsidR="00B57486" w:rsidRPr="00B57486" w:rsidTr="00B57486">
        <w:trPr>
          <w:trHeight w:val="330"/>
        </w:trPr>
        <w:tc>
          <w:tcPr>
            <w:tcW w:w="4121" w:type="pct"/>
            <w:tcBorders>
              <w:top w:val="single" w:sz="8" w:space="0" w:color="2F5496"/>
              <w:left w:val="single" w:sz="8" w:space="0" w:color="2F5496"/>
              <w:bottom w:val="single" w:sz="8" w:space="0" w:color="2F5496"/>
              <w:right w:val="single" w:sz="8" w:space="0" w:color="2F5496"/>
            </w:tcBorders>
            <w:shd w:val="clear" w:color="000000" w:fill="2F5496"/>
            <w:vAlign w:val="center"/>
            <w:hideMark/>
          </w:tcPr>
          <w:p w:rsidR="00B57486" w:rsidRPr="00B57486" w:rsidRDefault="00B57486" w:rsidP="00B57486">
            <w:pPr>
              <w:jc w:val="both"/>
              <w:rPr>
                <w:rFonts w:ascii="Calibri" w:hAnsi="Calibri" w:cs="Calibri"/>
                <w:b/>
                <w:bCs/>
                <w:color w:val="FFFFFF"/>
              </w:rPr>
            </w:pPr>
            <w:r w:rsidRPr="00B57486">
              <w:rPr>
                <w:rFonts w:ascii="Calibri" w:hAnsi="Calibri" w:cs="Calibri"/>
                <w:b/>
                <w:bCs/>
                <w:color w:val="FFFFFF"/>
              </w:rPr>
              <w:t>Descrizione</w:t>
            </w:r>
          </w:p>
        </w:tc>
        <w:tc>
          <w:tcPr>
            <w:tcW w:w="879" w:type="pct"/>
            <w:tcBorders>
              <w:top w:val="single" w:sz="8" w:space="0" w:color="2F5496"/>
              <w:left w:val="nil"/>
              <w:bottom w:val="single" w:sz="8" w:space="0" w:color="2F5496"/>
              <w:right w:val="single" w:sz="8" w:space="0" w:color="2F5496"/>
            </w:tcBorders>
            <w:shd w:val="clear" w:color="000000" w:fill="2F5496"/>
            <w:vAlign w:val="center"/>
            <w:hideMark/>
          </w:tcPr>
          <w:p w:rsidR="00B57486" w:rsidRPr="00B57486" w:rsidRDefault="00B57486" w:rsidP="00B57486">
            <w:pPr>
              <w:jc w:val="center"/>
              <w:rPr>
                <w:rFonts w:ascii="Calibri" w:hAnsi="Calibri" w:cs="Calibri"/>
                <w:b/>
                <w:bCs/>
                <w:color w:val="FFFFFF"/>
              </w:rPr>
            </w:pPr>
            <w:r w:rsidRPr="00B57486">
              <w:rPr>
                <w:rFonts w:ascii="Calibri" w:hAnsi="Calibri" w:cs="Calibri"/>
                <w:b/>
                <w:bCs/>
                <w:color w:val="FFFFFF"/>
              </w:rPr>
              <w:t>2018</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color w:val="333333"/>
              </w:rPr>
            </w:pPr>
            <w:r w:rsidRPr="00B57486">
              <w:rPr>
                <w:rFonts w:ascii="Calibri" w:hAnsi="Calibri" w:cs="Calibri"/>
                <w:color w:val="333333"/>
              </w:rPr>
              <w:t>TOTALE COMPONENTI POSITIVI DELLA GESTIONE (A)</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B57486" w:rsidRDefault="00B57486" w:rsidP="00B57486">
            <w:pPr>
              <w:jc w:val="right"/>
              <w:rPr>
                <w:rFonts w:ascii="Arial" w:hAnsi="Arial" w:cs="Arial"/>
                <w:sz w:val="20"/>
                <w:szCs w:val="20"/>
              </w:rPr>
            </w:pPr>
            <w:r>
              <w:rPr>
                <w:rFonts w:ascii="Arial" w:hAnsi="Arial" w:cs="Arial"/>
                <w:sz w:val="20"/>
                <w:szCs w:val="20"/>
              </w:rPr>
              <w:t xml:space="preserve">   </w:t>
            </w:r>
            <w:r w:rsidR="005006F6">
              <w:rPr>
                <w:rFonts w:ascii="Arial" w:hAnsi="Arial" w:cs="Arial"/>
                <w:sz w:val="20"/>
                <w:szCs w:val="20"/>
              </w:rPr>
              <w:t>440.690,45</w:t>
            </w:r>
            <w:r w:rsidRPr="00B57486">
              <w:rPr>
                <w:rFonts w:ascii="Arial" w:hAnsi="Arial" w:cs="Arial"/>
                <w:sz w:val="20"/>
                <w:szCs w:val="20"/>
              </w:rPr>
              <w:t xml:space="preserve">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color w:val="333333"/>
              </w:rPr>
            </w:pPr>
            <w:r w:rsidRPr="00B57486">
              <w:rPr>
                <w:rFonts w:ascii="Calibri" w:hAnsi="Calibri" w:cs="Calibri"/>
                <w:color w:val="333333"/>
              </w:rPr>
              <w:t>TOTALE COMPONENTI NEGATIVI DELLA GESTIONE (B)</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B57486" w:rsidRDefault="00B57486" w:rsidP="00B57486">
            <w:pPr>
              <w:jc w:val="right"/>
              <w:rPr>
                <w:rFonts w:ascii="Arial" w:hAnsi="Arial" w:cs="Arial"/>
                <w:sz w:val="20"/>
                <w:szCs w:val="20"/>
              </w:rPr>
            </w:pPr>
            <w:r w:rsidRPr="00B57486">
              <w:rPr>
                <w:rFonts w:ascii="Arial" w:hAnsi="Arial" w:cs="Arial"/>
                <w:sz w:val="20"/>
                <w:szCs w:val="20"/>
              </w:rPr>
              <w:t xml:space="preserve">    419.661,35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b/>
                <w:bCs/>
                <w:color w:val="333333"/>
              </w:rPr>
            </w:pPr>
            <w:r w:rsidRPr="00B57486">
              <w:rPr>
                <w:rFonts w:ascii="Calibri" w:hAnsi="Calibri" w:cs="Calibri"/>
                <w:b/>
                <w:bCs/>
                <w:color w:val="333333"/>
              </w:rPr>
              <w:t>DIFFERENZA FRA COMP. POSITIVI E NEGATIVI DELLA GESTIONE ( A-B)</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E715C1" w:rsidRDefault="00B57486" w:rsidP="00B57486">
            <w:pPr>
              <w:jc w:val="right"/>
              <w:rPr>
                <w:rFonts w:ascii="Arial" w:hAnsi="Arial" w:cs="Arial"/>
                <w:b/>
                <w:sz w:val="20"/>
                <w:szCs w:val="20"/>
              </w:rPr>
            </w:pPr>
            <w:r w:rsidRPr="00E715C1">
              <w:rPr>
                <w:rFonts w:ascii="Arial" w:hAnsi="Arial" w:cs="Arial"/>
                <w:b/>
                <w:sz w:val="20"/>
                <w:szCs w:val="20"/>
              </w:rPr>
              <w:t xml:space="preserve">      </w:t>
            </w:r>
            <w:r w:rsidR="005006F6">
              <w:rPr>
                <w:rFonts w:ascii="Arial" w:hAnsi="Arial" w:cs="Arial"/>
                <w:b/>
                <w:sz w:val="20"/>
                <w:szCs w:val="20"/>
              </w:rPr>
              <w:t>21.029,10</w:t>
            </w:r>
            <w:r w:rsidRPr="00E715C1">
              <w:rPr>
                <w:rFonts w:ascii="Arial" w:hAnsi="Arial" w:cs="Arial"/>
                <w:b/>
                <w:sz w:val="20"/>
                <w:szCs w:val="20"/>
              </w:rPr>
              <w:t xml:space="preserve">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color w:val="333333"/>
              </w:rPr>
            </w:pPr>
            <w:r w:rsidRPr="00B57486">
              <w:rPr>
                <w:rFonts w:ascii="Calibri" w:hAnsi="Calibri" w:cs="Calibri"/>
                <w:color w:val="333333"/>
              </w:rPr>
              <w:t>TOTALE PROVENTI ED ONERI FINANZIARI (C)</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B57486" w:rsidRDefault="00B57486" w:rsidP="00B57486">
            <w:pPr>
              <w:jc w:val="right"/>
              <w:rPr>
                <w:rFonts w:ascii="Arial" w:hAnsi="Arial" w:cs="Arial"/>
                <w:sz w:val="20"/>
                <w:szCs w:val="20"/>
              </w:rPr>
            </w:pPr>
            <w:r w:rsidRPr="00B57486">
              <w:rPr>
                <w:rFonts w:ascii="Arial" w:hAnsi="Arial" w:cs="Arial"/>
                <w:sz w:val="20"/>
                <w:szCs w:val="20"/>
              </w:rPr>
              <w:t xml:space="preserve">              0,04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color w:val="333333"/>
              </w:rPr>
            </w:pPr>
            <w:r w:rsidRPr="00B57486">
              <w:rPr>
                <w:rFonts w:ascii="Calibri" w:hAnsi="Calibri" w:cs="Calibri"/>
                <w:color w:val="333333"/>
              </w:rPr>
              <w:t>TOTALE RETTIFICHE (D)</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B57486" w:rsidRDefault="00B57486" w:rsidP="00B57486">
            <w:pPr>
              <w:jc w:val="right"/>
              <w:rPr>
                <w:rFonts w:ascii="Arial" w:hAnsi="Arial" w:cs="Arial"/>
                <w:sz w:val="20"/>
                <w:szCs w:val="20"/>
              </w:rPr>
            </w:pPr>
            <w:r w:rsidRPr="00B57486">
              <w:rPr>
                <w:rFonts w:ascii="Arial" w:hAnsi="Arial" w:cs="Arial"/>
                <w:sz w:val="20"/>
                <w:szCs w:val="20"/>
              </w:rPr>
              <w:t xml:space="preserve">                 -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color w:val="333333"/>
              </w:rPr>
            </w:pPr>
            <w:r w:rsidRPr="00B57486">
              <w:rPr>
                <w:rFonts w:ascii="Calibri" w:hAnsi="Calibri" w:cs="Calibri"/>
                <w:color w:val="333333"/>
              </w:rPr>
              <w:t>TOTALE PROVENTI ED ONERI STRAORDINARI (E)</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B57486" w:rsidRDefault="00B57486" w:rsidP="00B57486">
            <w:pPr>
              <w:jc w:val="right"/>
              <w:rPr>
                <w:rFonts w:ascii="Arial" w:hAnsi="Arial" w:cs="Arial"/>
                <w:sz w:val="20"/>
                <w:szCs w:val="20"/>
              </w:rPr>
            </w:pPr>
            <w:r w:rsidRPr="00B57486">
              <w:rPr>
                <w:rFonts w:ascii="Arial" w:hAnsi="Arial" w:cs="Arial"/>
                <w:sz w:val="20"/>
                <w:szCs w:val="20"/>
              </w:rPr>
              <w:t xml:space="preserve">-       3.907,77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b/>
                <w:bCs/>
                <w:color w:val="333333"/>
              </w:rPr>
            </w:pPr>
            <w:r w:rsidRPr="00B57486">
              <w:rPr>
                <w:rFonts w:ascii="Calibri" w:hAnsi="Calibri" w:cs="Calibri"/>
                <w:b/>
                <w:bCs/>
                <w:color w:val="333333"/>
              </w:rPr>
              <w:t>RISULTATO PRIMA DELLE IMPOSTE  (A-B+C+D+E)</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E715C1" w:rsidRDefault="00B57486" w:rsidP="00B57486">
            <w:pPr>
              <w:jc w:val="right"/>
              <w:rPr>
                <w:rFonts w:ascii="Arial" w:hAnsi="Arial" w:cs="Arial"/>
                <w:b/>
                <w:sz w:val="20"/>
                <w:szCs w:val="20"/>
              </w:rPr>
            </w:pPr>
            <w:r w:rsidRPr="00E715C1">
              <w:rPr>
                <w:rFonts w:ascii="Arial" w:hAnsi="Arial" w:cs="Arial"/>
                <w:b/>
                <w:sz w:val="20"/>
                <w:szCs w:val="20"/>
              </w:rPr>
              <w:t xml:space="preserve">      </w:t>
            </w:r>
            <w:r w:rsidR="005006F6">
              <w:rPr>
                <w:rFonts w:ascii="Arial" w:hAnsi="Arial" w:cs="Arial"/>
                <w:b/>
                <w:sz w:val="20"/>
                <w:szCs w:val="20"/>
              </w:rPr>
              <w:t>17.121,37</w:t>
            </w:r>
            <w:r w:rsidRPr="00E715C1">
              <w:rPr>
                <w:rFonts w:ascii="Arial" w:hAnsi="Arial" w:cs="Arial"/>
                <w:b/>
                <w:sz w:val="20"/>
                <w:szCs w:val="20"/>
              </w:rPr>
              <w:t xml:space="preserve">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color w:val="333333"/>
              </w:rPr>
            </w:pPr>
            <w:r w:rsidRPr="00B57486">
              <w:rPr>
                <w:rFonts w:ascii="Calibri" w:hAnsi="Calibri" w:cs="Calibri"/>
                <w:color w:val="333333"/>
              </w:rPr>
              <w:t>Imposte (*)</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B57486" w:rsidRDefault="00B57486" w:rsidP="00B57486">
            <w:pPr>
              <w:jc w:val="right"/>
              <w:rPr>
                <w:rFonts w:ascii="Arial" w:hAnsi="Arial" w:cs="Arial"/>
                <w:sz w:val="20"/>
                <w:szCs w:val="20"/>
              </w:rPr>
            </w:pPr>
            <w:r w:rsidRPr="00B57486">
              <w:rPr>
                <w:rFonts w:ascii="Arial" w:hAnsi="Arial" w:cs="Arial"/>
                <w:sz w:val="20"/>
                <w:szCs w:val="20"/>
              </w:rPr>
              <w:t xml:space="preserve">      11.824,15 </w:t>
            </w:r>
          </w:p>
        </w:tc>
      </w:tr>
      <w:tr w:rsidR="00B57486" w:rsidRPr="00B57486" w:rsidTr="00B57486">
        <w:trPr>
          <w:trHeight w:val="330"/>
        </w:trPr>
        <w:tc>
          <w:tcPr>
            <w:tcW w:w="4121" w:type="pct"/>
            <w:tcBorders>
              <w:top w:val="nil"/>
              <w:left w:val="single" w:sz="8" w:space="0" w:color="2F5496"/>
              <w:bottom w:val="single" w:sz="8" w:space="0" w:color="2F5496"/>
              <w:right w:val="single" w:sz="8" w:space="0" w:color="2F5496"/>
            </w:tcBorders>
            <w:shd w:val="clear" w:color="000000" w:fill="FFFFFF"/>
            <w:vAlign w:val="center"/>
            <w:hideMark/>
          </w:tcPr>
          <w:p w:rsidR="00B57486" w:rsidRPr="00B57486" w:rsidRDefault="00B57486" w:rsidP="00B57486">
            <w:pPr>
              <w:jc w:val="both"/>
              <w:rPr>
                <w:rFonts w:ascii="Calibri" w:hAnsi="Calibri" w:cs="Calibri"/>
                <w:b/>
                <w:bCs/>
                <w:color w:val="333333"/>
              </w:rPr>
            </w:pPr>
            <w:r w:rsidRPr="00B57486">
              <w:rPr>
                <w:rFonts w:ascii="Calibri" w:hAnsi="Calibri" w:cs="Calibri"/>
                <w:b/>
                <w:bCs/>
                <w:color w:val="333333"/>
              </w:rPr>
              <w:t>RISULTATO DELL'ESERCIZIO</w:t>
            </w:r>
          </w:p>
        </w:tc>
        <w:tc>
          <w:tcPr>
            <w:tcW w:w="879" w:type="pct"/>
            <w:tcBorders>
              <w:top w:val="nil"/>
              <w:left w:val="nil"/>
              <w:bottom w:val="single" w:sz="8" w:space="0" w:color="2F5496"/>
              <w:right w:val="single" w:sz="8" w:space="0" w:color="2F5496"/>
            </w:tcBorders>
            <w:shd w:val="clear" w:color="auto" w:fill="auto"/>
            <w:vAlign w:val="center"/>
            <w:hideMark/>
          </w:tcPr>
          <w:p w:rsidR="00B57486" w:rsidRPr="00E715C1" w:rsidRDefault="00B57486" w:rsidP="00B57486">
            <w:pPr>
              <w:jc w:val="right"/>
              <w:rPr>
                <w:rFonts w:ascii="Arial" w:hAnsi="Arial" w:cs="Arial"/>
                <w:b/>
                <w:sz w:val="20"/>
                <w:szCs w:val="20"/>
              </w:rPr>
            </w:pPr>
            <w:r w:rsidRPr="00E715C1">
              <w:rPr>
                <w:rFonts w:ascii="Arial" w:hAnsi="Arial" w:cs="Arial"/>
                <w:b/>
                <w:sz w:val="20"/>
                <w:szCs w:val="20"/>
              </w:rPr>
              <w:t xml:space="preserve">        </w:t>
            </w:r>
            <w:r w:rsidR="005006F6">
              <w:rPr>
                <w:rFonts w:ascii="Arial" w:hAnsi="Arial" w:cs="Arial"/>
                <w:b/>
                <w:sz w:val="20"/>
                <w:szCs w:val="20"/>
              </w:rPr>
              <w:t>5.297,22</w:t>
            </w:r>
            <w:r w:rsidRPr="00E715C1">
              <w:rPr>
                <w:rFonts w:ascii="Arial" w:hAnsi="Arial" w:cs="Arial"/>
                <w:b/>
                <w:sz w:val="20"/>
                <w:szCs w:val="20"/>
              </w:rPr>
              <w:t xml:space="preserve"> </w:t>
            </w:r>
          </w:p>
        </w:tc>
      </w:tr>
    </w:tbl>
    <w:p w:rsidR="00B57486" w:rsidRDefault="00B57486" w:rsidP="00FD1C8A">
      <w:pPr>
        <w:jc w:val="both"/>
        <w:rPr>
          <w:rFonts w:asciiTheme="minorHAnsi" w:hAnsiTheme="minorHAnsi" w:cstheme="minorHAnsi"/>
        </w:rPr>
      </w:pPr>
    </w:p>
    <w:p w:rsidR="00CC756B" w:rsidRPr="00C316B0" w:rsidRDefault="00CC756B" w:rsidP="00FD1C8A">
      <w:pPr>
        <w:jc w:val="both"/>
        <w:rPr>
          <w:rFonts w:asciiTheme="minorHAnsi" w:hAnsiTheme="minorHAnsi" w:cstheme="minorHAnsi"/>
        </w:rPr>
      </w:pPr>
    </w:p>
    <w:p w:rsidR="005F7CA9" w:rsidRPr="00C316B0" w:rsidRDefault="00B00096" w:rsidP="00FD1C8A">
      <w:pPr>
        <w:jc w:val="both"/>
        <w:rPr>
          <w:rFonts w:asciiTheme="minorHAnsi" w:hAnsiTheme="minorHAnsi" w:cstheme="minorHAnsi"/>
        </w:rPr>
      </w:pPr>
      <w:r w:rsidRPr="00C316B0">
        <w:rPr>
          <w:rFonts w:asciiTheme="minorHAnsi" w:hAnsiTheme="minorHAnsi" w:cstheme="minorHAnsi"/>
        </w:rPr>
        <w:t xml:space="preserve">Il risultato della Gestione Caratteristica (A-B), pari </w:t>
      </w:r>
      <w:r w:rsidR="005006F6">
        <w:rPr>
          <w:rFonts w:asciiTheme="minorHAnsi" w:hAnsiTheme="minorHAnsi" w:cstheme="minorHAnsi"/>
        </w:rPr>
        <w:t>21.029,10</w:t>
      </w:r>
      <w:r w:rsidRPr="00C316B0">
        <w:rPr>
          <w:rFonts w:asciiTheme="minorHAnsi" w:hAnsiTheme="minorHAnsi" w:cstheme="minorHAnsi"/>
        </w:rPr>
        <w:t xml:space="preserve"> euro è certamente il dato più significativo della rappresentazion</w:t>
      </w:r>
      <w:r>
        <w:rPr>
          <w:rFonts w:asciiTheme="minorHAnsi" w:hAnsiTheme="minorHAnsi" w:cstheme="minorHAnsi"/>
        </w:rPr>
        <w:t>e economica della Gestione del</w:t>
      </w:r>
      <w:r w:rsidRPr="00C316B0">
        <w:rPr>
          <w:rFonts w:asciiTheme="minorHAnsi" w:hAnsiTheme="minorHAnsi" w:cstheme="minorHAnsi"/>
        </w:rPr>
        <w:t xml:space="preserve"> Comune di </w:t>
      </w:r>
      <w:r>
        <w:rPr>
          <w:rFonts w:asciiTheme="minorHAnsi" w:hAnsiTheme="minorHAnsi" w:cstheme="minorHAnsi"/>
        </w:rPr>
        <w:t>Poggio San Vicino.</w:t>
      </w:r>
      <w:r w:rsidR="005F7CA9" w:rsidRPr="00C316B0">
        <w:rPr>
          <w:rFonts w:asciiTheme="minorHAnsi" w:hAnsiTheme="minorHAnsi" w:cstheme="minorHAnsi"/>
        </w:rPr>
        <w:t xml:space="preserve"> </w:t>
      </w:r>
    </w:p>
    <w:p w:rsidR="005F7CA9" w:rsidRPr="00C316B0" w:rsidRDefault="00535236" w:rsidP="00FD1C8A">
      <w:pPr>
        <w:autoSpaceDE w:val="0"/>
        <w:autoSpaceDN w:val="0"/>
        <w:adjustRightInd w:val="0"/>
        <w:jc w:val="both"/>
        <w:rPr>
          <w:rFonts w:asciiTheme="minorHAnsi" w:hAnsiTheme="minorHAnsi" w:cstheme="minorHAnsi"/>
        </w:rPr>
      </w:pPr>
      <w:r w:rsidRPr="00C316B0">
        <w:rPr>
          <w:rFonts w:asciiTheme="minorHAnsi" w:hAnsiTheme="minorHAnsi" w:cstheme="minorHAnsi"/>
        </w:rPr>
        <w:t xml:space="preserve">Il dato non è confrontabile con quello dell’esercizio precedente </w:t>
      </w:r>
      <w:r w:rsidR="00B00096" w:rsidRPr="00C316B0">
        <w:rPr>
          <w:rFonts w:asciiTheme="minorHAnsi" w:hAnsiTheme="minorHAnsi" w:cstheme="minorHAnsi"/>
        </w:rPr>
        <w:t>poiché</w:t>
      </w:r>
      <w:r w:rsidRPr="00C316B0">
        <w:rPr>
          <w:rFonts w:asciiTheme="minorHAnsi" w:hAnsiTheme="minorHAnsi" w:cstheme="minorHAnsi"/>
        </w:rPr>
        <w:t xml:space="preserve"> è il primo anno di rilevazione e il conto economico dell’anno precedente non viene </w:t>
      </w:r>
      <w:r w:rsidR="00B57486">
        <w:rPr>
          <w:rFonts w:asciiTheme="minorHAnsi" w:hAnsiTheme="minorHAnsi" w:cstheme="minorHAnsi"/>
        </w:rPr>
        <w:t>rappresentato.</w:t>
      </w:r>
    </w:p>
    <w:p w:rsidR="0094726B" w:rsidRPr="00C316B0" w:rsidRDefault="00D42432" w:rsidP="00FD1C8A">
      <w:pPr>
        <w:autoSpaceDE w:val="0"/>
        <w:autoSpaceDN w:val="0"/>
        <w:adjustRightInd w:val="0"/>
        <w:jc w:val="both"/>
        <w:rPr>
          <w:rFonts w:asciiTheme="minorHAnsi" w:hAnsiTheme="minorHAnsi" w:cstheme="minorHAnsi"/>
        </w:rPr>
      </w:pPr>
      <w:r w:rsidRPr="00C316B0">
        <w:rPr>
          <w:rFonts w:asciiTheme="minorHAnsi" w:hAnsiTheme="minorHAnsi" w:cstheme="minorHAnsi"/>
        </w:rPr>
        <w:t xml:space="preserve">La gestione straordinaria contribuisce </w:t>
      </w:r>
      <w:r w:rsidR="00B57486">
        <w:rPr>
          <w:rFonts w:asciiTheme="minorHAnsi" w:hAnsiTheme="minorHAnsi" w:cstheme="minorHAnsi"/>
        </w:rPr>
        <w:t>negativamente</w:t>
      </w:r>
      <w:r w:rsidRPr="00C316B0">
        <w:rPr>
          <w:rFonts w:asciiTheme="minorHAnsi" w:hAnsiTheme="minorHAnsi" w:cstheme="minorHAnsi"/>
        </w:rPr>
        <w:t xml:space="preserve"> alla gestione </w:t>
      </w:r>
      <w:r w:rsidR="00535236" w:rsidRPr="00C316B0">
        <w:rPr>
          <w:rFonts w:asciiTheme="minorHAnsi" w:hAnsiTheme="minorHAnsi" w:cstheme="minorHAnsi"/>
        </w:rPr>
        <w:t>(</w:t>
      </w:r>
      <w:r w:rsidR="00B57486">
        <w:rPr>
          <w:rFonts w:asciiTheme="minorHAnsi" w:hAnsiTheme="minorHAnsi" w:cstheme="minorHAnsi"/>
        </w:rPr>
        <w:t>circa 4 mila euro</w:t>
      </w:r>
      <w:r w:rsidR="00535236" w:rsidRPr="00C316B0">
        <w:rPr>
          <w:rFonts w:asciiTheme="minorHAnsi" w:hAnsiTheme="minorHAnsi" w:cstheme="minorHAnsi"/>
        </w:rPr>
        <w:t>).</w:t>
      </w:r>
    </w:p>
    <w:p w:rsidR="005F7CA9" w:rsidRPr="00C316B0" w:rsidRDefault="005F7CA9" w:rsidP="00FD1C8A">
      <w:pPr>
        <w:autoSpaceDE w:val="0"/>
        <w:autoSpaceDN w:val="0"/>
        <w:adjustRightInd w:val="0"/>
        <w:jc w:val="both"/>
        <w:rPr>
          <w:rFonts w:asciiTheme="minorHAnsi" w:hAnsiTheme="minorHAnsi" w:cstheme="minorHAnsi"/>
        </w:rPr>
      </w:pPr>
      <w:r w:rsidRPr="00C316B0">
        <w:rPr>
          <w:rFonts w:asciiTheme="minorHAnsi" w:hAnsiTheme="minorHAnsi" w:cstheme="minorHAnsi"/>
        </w:rPr>
        <w:t>Il raffronto tra il risultato rilevato dalla Contabilità Finanziaria (</w:t>
      </w:r>
      <w:r w:rsidR="00B57486">
        <w:rPr>
          <w:rFonts w:asciiTheme="minorHAnsi" w:hAnsiTheme="minorHAnsi" w:cstheme="minorHAnsi"/>
        </w:rPr>
        <w:t>+</w:t>
      </w:r>
      <w:r w:rsidR="00B57486" w:rsidRPr="00B57486">
        <w:rPr>
          <w:rFonts w:asciiTheme="minorHAnsi" w:hAnsiTheme="minorHAnsi" w:cstheme="minorHAnsi"/>
        </w:rPr>
        <w:t>53.510,0</w:t>
      </w:r>
      <w:r w:rsidRPr="00C316B0">
        <w:rPr>
          <w:rFonts w:asciiTheme="minorHAnsi" w:hAnsiTheme="minorHAnsi" w:cstheme="minorHAnsi"/>
        </w:rPr>
        <w:t xml:space="preserve">) e quello registrato dalla Contabilità Economica </w:t>
      </w:r>
      <w:r w:rsidR="00191E67" w:rsidRPr="00C316B0">
        <w:rPr>
          <w:rFonts w:asciiTheme="minorHAnsi" w:hAnsiTheme="minorHAnsi" w:cstheme="minorHAnsi"/>
        </w:rPr>
        <w:t>(</w:t>
      </w:r>
      <w:r w:rsidR="0094726B" w:rsidRPr="00C316B0">
        <w:rPr>
          <w:rFonts w:asciiTheme="minorHAnsi" w:hAnsiTheme="minorHAnsi" w:cstheme="minorHAnsi"/>
        </w:rPr>
        <w:t>+</w:t>
      </w:r>
      <w:r w:rsidR="005006F6">
        <w:rPr>
          <w:rFonts w:asciiTheme="minorHAnsi" w:hAnsiTheme="minorHAnsi" w:cstheme="minorHAnsi"/>
        </w:rPr>
        <w:t>5.297,22</w:t>
      </w:r>
      <w:r w:rsidR="00191E67" w:rsidRPr="00C316B0">
        <w:rPr>
          <w:rFonts w:asciiTheme="minorHAnsi" w:hAnsiTheme="minorHAnsi" w:cstheme="minorHAnsi"/>
        </w:rPr>
        <w:t>)</w:t>
      </w:r>
      <w:r w:rsidRPr="00C316B0">
        <w:rPr>
          <w:rFonts w:asciiTheme="minorHAnsi" w:hAnsiTheme="minorHAnsi" w:cstheme="minorHAnsi"/>
        </w:rPr>
        <w:t>, è dovuto ai diversi principi che presiedono ai due sistemi contabili.</w:t>
      </w:r>
    </w:p>
    <w:p w:rsidR="005F7CA9" w:rsidRPr="00C316B0" w:rsidRDefault="005F7CA9" w:rsidP="00FD1C8A">
      <w:pPr>
        <w:autoSpaceDE w:val="0"/>
        <w:autoSpaceDN w:val="0"/>
        <w:adjustRightInd w:val="0"/>
        <w:jc w:val="both"/>
        <w:rPr>
          <w:rFonts w:asciiTheme="minorHAnsi" w:hAnsiTheme="minorHAnsi" w:cstheme="minorHAnsi"/>
        </w:rPr>
      </w:pPr>
      <w:r w:rsidRPr="00C316B0">
        <w:rPr>
          <w:rFonts w:asciiTheme="minorHAnsi" w:hAnsiTheme="minorHAnsi" w:cstheme="minorHAnsi"/>
        </w:rPr>
        <w:t xml:space="preserve">Lo scopo della contabilità finanziaria è quello di presiedere e controllare l’allocazione delle risorse finanziarie, quindi di assicurare che siano impegnate spese solo nel limite delle disponibilità acquisite: la realizzazione di un avanzo, quindi, indica che parte delle risorse non sono state spese, con la conseguenza che tale eccedenza può essere messa a disposizione nell’esercizio successivo. </w:t>
      </w:r>
    </w:p>
    <w:p w:rsidR="005F7CA9" w:rsidRPr="00C316B0" w:rsidRDefault="005F7CA9" w:rsidP="00FD1C8A">
      <w:pPr>
        <w:autoSpaceDE w:val="0"/>
        <w:autoSpaceDN w:val="0"/>
        <w:adjustRightInd w:val="0"/>
        <w:jc w:val="both"/>
        <w:rPr>
          <w:rFonts w:asciiTheme="minorHAnsi" w:hAnsiTheme="minorHAnsi" w:cstheme="minorHAnsi"/>
        </w:rPr>
      </w:pPr>
      <w:r w:rsidRPr="00C316B0">
        <w:rPr>
          <w:rFonts w:asciiTheme="minorHAnsi" w:hAnsiTheme="minorHAnsi" w:cstheme="minorHAnsi"/>
        </w:rPr>
        <w:t xml:space="preserve">Il fine della contabilità economica, invece, è quello di rilevare </w:t>
      </w:r>
      <w:r w:rsidR="005F0142" w:rsidRPr="00C316B0">
        <w:rPr>
          <w:rFonts w:asciiTheme="minorHAnsi" w:hAnsiTheme="minorHAnsi" w:cstheme="minorHAnsi"/>
        </w:rPr>
        <w:t xml:space="preserve">le variazioni che subisce il Patrimonio netto dell’ente a seguito della gestione, </w:t>
      </w:r>
      <w:r w:rsidRPr="00C316B0">
        <w:rPr>
          <w:rFonts w:asciiTheme="minorHAnsi" w:hAnsiTheme="minorHAnsi" w:cstheme="minorHAnsi"/>
        </w:rPr>
        <w:t>i costi maturati per l’utilizzo dei fattori produttivi, finalizzati a produrre i servizi che vengono offerti alla collettività e a mantenere la propria struttura organizzativa. Dal raffronto con i ricavi di competenza dell’esercizio, realizzati attraverso la cessione dei servizi prodotti (per lo più gratuita o a prezzi definiti in funzione delle condizioni reddituali dei fruitori), la riscossione coattiva delle imposte e il trasferimento di risorse da altri enti, emerge il risultato economico che esprime il livello di equilibrio economico della gestione, cioè la sua condizione di “automantenimento” nel tempo.</w:t>
      </w:r>
    </w:p>
    <w:p w:rsidR="005F7CA9" w:rsidRPr="00C316B0" w:rsidRDefault="005F7CA9" w:rsidP="00FD1C8A">
      <w:pPr>
        <w:jc w:val="both"/>
        <w:rPr>
          <w:rFonts w:asciiTheme="minorHAnsi" w:hAnsiTheme="minorHAnsi" w:cstheme="minorHAnsi"/>
        </w:rPr>
      </w:pPr>
    </w:p>
    <w:p w:rsidR="005F7CA9" w:rsidRPr="00C316B0" w:rsidRDefault="005F7CA9" w:rsidP="00FD1C8A">
      <w:pPr>
        <w:pStyle w:val="Titolo2"/>
        <w:jc w:val="both"/>
        <w:rPr>
          <w:rFonts w:asciiTheme="minorHAnsi" w:hAnsiTheme="minorHAnsi" w:cstheme="minorHAnsi"/>
          <w:sz w:val="24"/>
          <w:szCs w:val="24"/>
        </w:rPr>
      </w:pPr>
      <w:bookmarkStart w:id="1" w:name="_Toc509783928"/>
      <w:r w:rsidRPr="00C316B0">
        <w:rPr>
          <w:rFonts w:asciiTheme="minorHAnsi" w:hAnsiTheme="minorHAnsi" w:cstheme="minorHAnsi"/>
          <w:sz w:val="24"/>
          <w:szCs w:val="24"/>
        </w:rPr>
        <w:t>I CRITERI DI VALUTAZIONE APPLICATI</w:t>
      </w:r>
      <w:bookmarkEnd w:id="1"/>
    </w:p>
    <w:p w:rsidR="005F7CA9" w:rsidRPr="00C316B0" w:rsidRDefault="005F7CA9"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 xml:space="preserve">Lo Stato Patrimoniale e </w:t>
      </w:r>
      <w:r w:rsidR="005F0142" w:rsidRPr="00C316B0">
        <w:rPr>
          <w:rFonts w:asciiTheme="minorHAnsi" w:hAnsiTheme="minorHAnsi" w:cstheme="minorHAnsi"/>
        </w:rPr>
        <w:t>i</w:t>
      </w:r>
      <w:r w:rsidRPr="00C316B0">
        <w:rPr>
          <w:rFonts w:asciiTheme="minorHAnsi" w:hAnsiTheme="minorHAnsi" w:cstheme="minorHAnsi"/>
        </w:rPr>
        <w:t>l Conto Economico sono stati predisposti applicando in maniera puntuale il disposto del Principio Contabile Applicato della Contabilità Economico-Patrimoniale e, laddove il disposto normativo non fosse esaustivo, sono stati applicati i Principi Contabili enucleati dall’Organismo Italiano per la Contabilità (OIC).</w:t>
      </w:r>
    </w:p>
    <w:p w:rsidR="005F7CA9" w:rsidRDefault="005F7CA9" w:rsidP="00FD1C8A">
      <w:pPr>
        <w:jc w:val="both"/>
        <w:rPr>
          <w:rFonts w:asciiTheme="minorHAnsi" w:hAnsiTheme="minorHAnsi" w:cstheme="minorHAnsi"/>
        </w:rPr>
      </w:pPr>
    </w:p>
    <w:p w:rsidR="00B57486" w:rsidRDefault="00B57486" w:rsidP="00FD1C8A">
      <w:pPr>
        <w:jc w:val="both"/>
        <w:rPr>
          <w:rFonts w:asciiTheme="minorHAnsi" w:hAnsiTheme="minorHAnsi" w:cstheme="minorHAnsi"/>
        </w:rPr>
      </w:pPr>
    </w:p>
    <w:p w:rsidR="00B57486" w:rsidRDefault="00B57486" w:rsidP="00FD1C8A">
      <w:pPr>
        <w:jc w:val="both"/>
        <w:rPr>
          <w:rFonts w:asciiTheme="minorHAnsi" w:hAnsiTheme="minorHAnsi" w:cstheme="minorHAnsi"/>
        </w:rPr>
      </w:pPr>
    </w:p>
    <w:p w:rsidR="00B57486" w:rsidRDefault="00B57486" w:rsidP="00FD1C8A">
      <w:pPr>
        <w:jc w:val="both"/>
        <w:rPr>
          <w:rFonts w:asciiTheme="minorHAnsi" w:hAnsiTheme="minorHAnsi" w:cstheme="minorHAnsi"/>
        </w:rPr>
      </w:pPr>
    </w:p>
    <w:p w:rsidR="0029612D" w:rsidRPr="00C316B0" w:rsidRDefault="0029612D" w:rsidP="00FD1C8A">
      <w:pPr>
        <w:jc w:val="both"/>
        <w:rPr>
          <w:rFonts w:asciiTheme="minorHAnsi" w:hAnsiTheme="minorHAnsi" w:cstheme="minorHAnsi"/>
        </w:rPr>
      </w:pPr>
    </w:p>
    <w:p w:rsidR="00162A0F" w:rsidRPr="00C316B0" w:rsidRDefault="00162A0F" w:rsidP="00FD1C8A">
      <w:pPr>
        <w:pStyle w:val="Titolo2"/>
        <w:jc w:val="both"/>
        <w:rPr>
          <w:rFonts w:asciiTheme="minorHAnsi" w:hAnsiTheme="minorHAnsi" w:cstheme="minorHAnsi"/>
          <w:sz w:val="24"/>
          <w:szCs w:val="24"/>
        </w:rPr>
      </w:pPr>
      <w:bookmarkStart w:id="2" w:name="_Toc509783929"/>
      <w:r w:rsidRPr="00C316B0">
        <w:rPr>
          <w:rFonts w:asciiTheme="minorHAnsi" w:hAnsiTheme="minorHAnsi" w:cstheme="minorHAnsi"/>
          <w:sz w:val="24"/>
          <w:szCs w:val="24"/>
        </w:rPr>
        <w:lastRenderedPageBreak/>
        <w:t>NOTE OPERATIVE SUL PROCESSO DI ARMONIZZAZIONE DEGLI INVENTARI</w:t>
      </w:r>
    </w:p>
    <w:p w:rsidR="00162A0F" w:rsidRPr="00C316B0" w:rsidRDefault="00162A0F" w:rsidP="00FD1C8A">
      <w:pPr>
        <w:jc w:val="both"/>
        <w:rPr>
          <w:rFonts w:asciiTheme="minorHAnsi" w:hAnsiTheme="minorHAnsi" w:cstheme="minorHAnsi"/>
          <w:b/>
          <w:bCs/>
          <w:i/>
          <w:iCs/>
        </w:rPr>
      </w:pPr>
    </w:p>
    <w:p w:rsidR="00162A0F" w:rsidRPr="00C316B0" w:rsidRDefault="00162A0F" w:rsidP="00FD1C8A">
      <w:pPr>
        <w:pStyle w:val="Default"/>
        <w:jc w:val="both"/>
        <w:rPr>
          <w:rFonts w:asciiTheme="minorHAnsi" w:hAnsiTheme="minorHAnsi" w:cstheme="minorHAnsi"/>
          <w:color w:val="00000A"/>
        </w:rPr>
      </w:pPr>
      <w:r w:rsidRPr="00C316B0">
        <w:rPr>
          <w:rFonts w:asciiTheme="minorHAnsi" w:hAnsiTheme="minorHAnsi" w:cstheme="minorHAnsi"/>
          <w:color w:val="00000A"/>
        </w:rPr>
        <w:t xml:space="preserve">L’articolo 2 del decreto legislativo 23 giugno 2011 n. 118 prevede, per gli enti in contabilità finanziaria, l’adozione di un sistema contabile integrato che garantisca la rilevazione unitaria dei fatti gestionali sia sotto il profilo finanziario </w:t>
      </w:r>
      <w:r w:rsidR="00B00096" w:rsidRPr="00C316B0">
        <w:rPr>
          <w:rFonts w:asciiTheme="minorHAnsi" w:hAnsiTheme="minorHAnsi" w:cstheme="minorHAnsi"/>
          <w:color w:val="00000A"/>
        </w:rPr>
        <w:t>sia</w:t>
      </w:r>
      <w:r w:rsidRPr="00C316B0">
        <w:rPr>
          <w:rFonts w:asciiTheme="minorHAnsi" w:hAnsiTheme="minorHAnsi" w:cstheme="minorHAnsi"/>
          <w:color w:val="00000A"/>
        </w:rPr>
        <w:t xml:space="preserve"> sotto il profilo economico-patrimoniale. </w:t>
      </w:r>
    </w:p>
    <w:p w:rsidR="00162A0F" w:rsidRPr="00C316B0" w:rsidRDefault="00162A0F" w:rsidP="00FD1C8A">
      <w:pPr>
        <w:pStyle w:val="Default"/>
        <w:jc w:val="both"/>
        <w:rPr>
          <w:rFonts w:asciiTheme="minorHAnsi" w:hAnsiTheme="minorHAnsi" w:cstheme="minorHAnsi"/>
          <w:color w:val="00000A"/>
        </w:rPr>
      </w:pPr>
      <w:r w:rsidRPr="00C316B0">
        <w:rPr>
          <w:rFonts w:asciiTheme="minorHAnsi" w:hAnsiTheme="minorHAnsi" w:cstheme="minorHAnsi"/>
          <w:color w:val="00000A"/>
        </w:rPr>
        <w:t xml:space="preserve">Nell’ambito di tale sistema integrato la contabilità economico patrimoniale affianca la contabilità finanziaria per rilevare i costi/oneri e i ricavi/proventi derivanti dalle transazioni poste in essere da una amministrazione pubblica (come definite nell’ambito del principio applicato della contabilità finanziaria) al fine di: </w:t>
      </w:r>
    </w:p>
    <w:p w:rsidR="00162A0F" w:rsidRPr="00C316B0" w:rsidRDefault="00162A0F" w:rsidP="00FD1C8A">
      <w:pPr>
        <w:pStyle w:val="Default"/>
        <w:numPr>
          <w:ilvl w:val="0"/>
          <w:numId w:val="6"/>
        </w:numPr>
        <w:spacing w:after="44"/>
        <w:jc w:val="both"/>
        <w:rPr>
          <w:rFonts w:asciiTheme="minorHAnsi" w:hAnsiTheme="minorHAnsi" w:cstheme="minorHAnsi"/>
          <w:color w:val="00000A"/>
        </w:rPr>
      </w:pPr>
      <w:r w:rsidRPr="00C316B0">
        <w:rPr>
          <w:rFonts w:asciiTheme="minorHAnsi" w:hAnsiTheme="minorHAnsi" w:cstheme="minorHAnsi"/>
          <w:color w:val="00000A"/>
        </w:rPr>
        <w:t xml:space="preserve">rappresentare le “utilità economiche” acquisite ed utilizzate nel corso di un esercizio; </w:t>
      </w:r>
    </w:p>
    <w:p w:rsidR="00162A0F" w:rsidRPr="00C316B0" w:rsidRDefault="00162A0F" w:rsidP="00FD1C8A">
      <w:pPr>
        <w:pStyle w:val="Default"/>
        <w:numPr>
          <w:ilvl w:val="0"/>
          <w:numId w:val="6"/>
        </w:numPr>
        <w:spacing w:after="44"/>
        <w:jc w:val="both"/>
        <w:rPr>
          <w:rFonts w:asciiTheme="minorHAnsi" w:hAnsiTheme="minorHAnsi" w:cstheme="minorHAnsi"/>
          <w:color w:val="00000A"/>
        </w:rPr>
      </w:pPr>
      <w:r w:rsidRPr="00C316B0">
        <w:rPr>
          <w:rFonts w:asciiTheme="minorHAnsi" w:hAnsiTheme="minorHAnsi" w:cstheme="minorHAnsi"/>
          <w:color w:val="00000A"/>
        </w:rPr>
        <w:t xml:space="preserve">partecipare alla costruzione dello stato patrimoniale e rilevare, in particolare, le variazioni del patrimonio dell’ente che costituiscono un indicatore dei risultati della gestione; </w:t>
      </w:r>
    </w:p>
    <w:p w:rsidR="00162A0F" w:rsidRPr="00C316B0" w:rsidRDefault="00162A0F" w:rsidP="00FD1C8A">
      <w:pPr>
        <w:pStyle w:val="Default"/>
        <w:numPr>
          <w:ilvl w:val="0"/>
          <w:numId w:val="6"/>
        </w:numPr>
        <w:spacing w:after="44"/>
        <w:jc w:val="both"/>
        <w:rPr>
          <w:rFonts w:asciiTheme="minorHAnsi" w:hAnsiTheme="minorHAnsi" w:cstheme="minorHAnsi"/>
          <w:color w:val="00000A"/>
        </w:rPr>
      </w:pPr>
      <w:r w:rsidRPr="00C316B0">
        <w:rPr>
          <w:rFonts w:asciiTheme="minorHAnsi" w:hAnsiTheme="minorHAnsi" w:cstheme="minorHAnsi"/>
          <w:color w:val="00000A"/>
        </w:rPr>
        <w:t xml:space="preserve">permettere l’elaborazione del conto consolidato di ciascun’amministrazione pubblica con i propri enti e organismi strumentali, aziende, società e altri organismi controllati. Gli strumenti che consentono di alimentare la contabilità economico – patrimoniale sono: </w:t>
      </w:r>
    </w:p>
    <w:p w:rsidR="00162A0F" w:rsidRPr="00C316B0" w:rsidRDefault="00162A0F" w:rsidP="00FD1C8A">
      <w:pPr>
        <w:pStyle w:val="Default"/>
        <w:numPr>
          <w:ilvl w:val="0"/>
          <w:numId w:val="3"/>
        </w:numPr>
        <w:suppressAutoHyphens/>
        <w:autoSpaceDE/>
        <w:adjustRightInd/>
        <w:spacing w:after="44"/>
        <w:ind w:left="1701"/>
        <w:jc w:val="both"/>
        <w:rPr>
          <w:rFonts w:asciiTheme="minorHAnsi" w:hAnsiTheme="minorHAnsi" w:cstheme="minorHAnsi"/>
          <w:i/>
          <w:color w:val="00000A"/>
        </w:rPr>
      </w:pPr>
      <w:r w:rsidRPr="00C316B0">
        <w:rPr>
          <w:rFonts w:asciiTheme="minorHAnsi" w:hAnsiTheme="minorHAnsi" w:cstheme="minorHAnsi"/>
          <w:i/>
          <w:color w:val="00000A"/>
        </w:rPr>
        <w:t xml:space="preserve">il piano dei conti economico </w:t>
      </w:r>
    </w:p>
    <w:p w:rsidR="00162A0F" w:rsidRPr="00C316B0" w:rsidRDefault="00162A0F" w:rsidP="00FD1C8A">
      <w:pPr>
        <w:pStyle w:val="Default"/>
        <w:numPr>
          <w:ilvl w:val="0"/>
          <w:numId w:val="3"/>
        </w:numPr>
        <w:suppressAutoHyphens/>
        <w:autoSpaceDE/>
        <w:adjustRightInd/>
        <w:ind w:left="1701"/>
        <w:jc w:val="both"/>
        <w:rPr>
          <w:rFonts w:asciiTheme="minorHAnsi" w:hAnsiTheme="minorHAnsi" w:cstheme="minorHAnsi"/>
          <w:i/>
          <w:color w:val="00000A"/>
        </w:rPr>
      </w:pPr>
      <w:r w:rsidRPr="00C316B0">
        <w:rPr>
          <w:rFonts w:asciiTheme="minorHAnsi" w:hAnsiTheme="minorHAnsi" w:cstheme="minorHAnsi"/>
          <w:i/>
          <w:color w:val="00000A"/>
        </w:rPr>
        <w:t xml:space="preserve">il piano dei conti patrimoniale </w:t>
      </w:r>
    </w:p>
    <w:p w:rsidR="00162A0F" w:rsidRPr="00C316B0" w:rsidRDefault="00162A0F" w:rsidP="00FD1C8A">
      <w:pPr>
        <w:pStyle w:val="Default"/>
        <w:jc w:val="both"/>
        <w:rPr>
          <w:rFonts w:asciiTheme="minorHAnsi" w:hAnsiTheme="minorHAnsi" w:cstheme="minorHAnsi"/>
          <w:color w:val="00000A"/>
        </w:rPr>
      </w:pPr>
    </w:p>
    <w:p w:rsidR="00162A0F" w:rsidRPr="00C316B0" w:rsidRDefault="00162A0F" w:rsidP="00FD1C8A">
      <w:pPr>
        <w:jc w:val="both"/>
        <w:rPr>
          <w:rFonts w:asciiTheme="minorHAnsi" w:hAnsiTheme="minorHAnsi" w:cstheme="minorHAnsi"/>
        </w:rPr>
      </w:pPr>
      <w:r w:rsidRPr="00C316B0">
        <w:rPr>
          <w:rFonts w:asciiTheme="minorHAnsi" w:hAnsiTheme="minorHAnsi" w:cstheme="minorHAnsi"/>
        </w:rPr>
        <w:t>L’elenco dei conti economico-patrimoniali comprende anche i conti necessari per le operazioni di integrazione, rettifica e ammortamento.</w:t>
      </w:r>
    </w:p>
    <w:p w:rsidR="00162A0F" w:rsidRPr="00C316B0" w:rsidRDefault="00162A0F" w:rsidP="00FD1C8A">
      <w:pPr>
        <w:jc w:val="both"/>
        <w:rPr>
          <w:rFonts w:asciiTheme="minorHAnsi" w:hAnsiTheme="minorHAnsi" w:cstheme="minorHAnsi"/>
        </w:rPr>
      </w:pP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rPr>
        <w:t>Il Principio contabile allegato n. 4/3 del D.lgs. 118/2011 stabilisce all’art. 9.1 le attività necessarie all’avvio della contabilità economico-patrimoniale da parte degli enti locali, con particolare attenzione all’adeguamento degli inventari patrimoniali necessari alla formazione dello Stato Patrimoniale.</w:t>
      </w: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rPr>
        <w:t>Nel dettaglio il progetto intrapreso è stato strutturato come illustrato nelle seguenti fasi operative.</w:t>
      </w:r>
    </w:p>
    <w:p w:rsidR="00162A0F" w:rsidRDefault="00162A0F" w:rsidP="00FD1C8A">
      <w:pPr>
        <w:tabs>
          <w:tab w:val="left" w:pos="284"/>
        </w:tabs>
        <w:jc w:val="both"/>
        <w:rPr>
          <w:rFonts w:asciiTheme="minorHAnsi" w:hAnsiTheme="minorHAnsi" w:cstheme="minorHAnsi"/>
        </w:rPr>
      </w:pPr>
      <w:r w:rsidRPr="00C316B0">
        <w:rPr>
          <w:rFonts w:asciiTheme="minorHAnsi" w:hAnsiTheme="minorHAnsi" w:cstheme="minorHAnsi"/>
        </w:rPr>
        <w:t xml:space="preserve">Si è in prima battuta proceduto all’analisi dei dati relativi al patrimonio immobiliare ed alla loro conseguente importazione informatica. Il sistema aggiornato alla normativa ha permesso agevolmente lo svolgimento delle attività di adeguamento degli inventari, sia immobiliare </w:t>
      </w:r>
      <w:r w:rsidR="00995D12" w:rsidRPr="00C316B0">
        <w:rPr>
          <w:rFonts w:asciiTheme="minorHAnsi" w:hAnsiTheme="minorHAnsi" w:cstheme="minorHAnsi"/>
        </w:rPr>
        <w:t>sia</w:t>
      </w:r>
      <w:r w:rsidRPr="00C316B0">
        <w:rPr>
          <w:rFonts w:asciiTheme="minorHAnsi" w:hAnsiTheme="minorHAnsi" w:cstheme="minorHAnsi"/>
        </w:rPr>
        <w:t xml:space="preserve"> mobiliare, nel passaggio dal D.P.R. 194/1996 al D.Lgs. 118/2011.</w:t>
      </w:r>
    </w:p>
    <w:p w:rsidR="00CC58CE" w:rsidRDefault="00CC58CE" w:rsidP="00CC58CE">
      <w:pPr>
        <w:tabs>
          <w:tab w:val="left" w:pos="284"/>
        </w:tabs>
        <w:jc w:val="both"/>
        <w:rPr>
          <w:rFonts w:asciiTheme="minorHAnsi" w:hAnsiTheme="minorHAnsi" w:cstheme="minorHAnsi"/>
          <w:color w:val="000000" w:themeColor="text1"/>
        </w:rPr>
      </w:pPr>
      <w:r w:rsidRPr="00CC58CE">
        <w:rPr>
          <w:rFonts w:asciiTheme="minorHAnsi" w:hAnsiTheme="minorHAnsi"/>
          <w:iCs/>
          <w:color w:val="000000" w:themeColor="text1"/>
        </w:rPr>
        <w:t xml:space="preserve">Il valore dei beni patrimoniali per i quali non è stato possibile completare il processo di valutazione nel primo stato patrimoniale di apertura, secondo la disciplina del </w:t>
      </w:r>
      <w:r w:rsidRPr="00CC58CE">
        <w:rPr>
          <w:rFonts w:asciiTheme="minorHAnsi" w:hAnsiTheme="minorHAnsi"/>
          <w:bCs/>
        </w:rPr>
        <w:t>punto 91 del PC n.4/3 allegato al D.lgs. n.118/2011</w:t>
      </w:r>
      <w:r w:rsidRPr="00CC58CE">
        <w:rPr>
          <w:rFonts w:asciiTheme="minorHAnsi" w:hAnsiTheme="minorHAnsi"/>
          <w:iCs/>
          <w:color w:val="000000" w:themeColor="text1"/>
        </w:rPr>
        <w:t>,  in quanto in corso di ricognizione o in attesa di perizia, può essere adeguato nel corso della gestione tramite scritture esclusive della contabilità economico-patrimoniale del tipo </w:t>
      </w:r>
      <w:r w:rsidRPr="00CC58CE">
        <w:rPr>
          <w:rFonts w:asciiTheme="minorHAnsi" w:hAnsiTheme="minorHAnsi"/>
          <w:b/>
          <w:bCs/>
          <w:iCs/>
          <w:color w:val="000000" w:themeColor="text1"/>
        </w:rPr>
        <w:t>immobilizzazioni @ Fondo di dotazione</w:t>
      </w:r>
      <w:r w:rsidRPr="00CC58CE">
        <w:rPr>
          <w:rFonts w:asciiTheme="minorHAnsi" w:hAnsiTheme="minorHAnsi"/>
          <w:iCs/>
          <w:color w:val="000000" w:themeColor="text1"/>
        </w:rPr>
        <w:t>. L’attività di ricognizione straordinaria del patrimonio, e la conseguente rideterminazione del valore del patrimonio,  deve in ogni caso concludersi entro il secondo esercizio dall’entrata in vigore della contabilità economico.</w:t>
      </w:r>
    </w:p>
    <w:p w:rsidR="00CC58CE" w:rsidRDefault="00CC58CE" w:rsidP="00CC58CE">
      <w:pPr>
        <w:tabs>
          <w:tab w:val="left" w:pos="284"/>
        </w:tabs>
        <w:jc w:val="both"/>
        <w:rPr>
          <w:rFonts w:asciiTheme="minorHAnsi" w:hAnsiTheme="minorHAnsi" w:cstheme="minorHAnsi"/>
        </w:rPr>
      </w:pPr>
    </w:p>
    <w:p w:rsidR="00CC58CE" w:rsidRPr="00C316B0" w:rsidRDefault="00CC58CE" w:rsidP="00FD1C8A">
      <w:pPr>
        <w:tabs>
          <w:tab w:val="left" w:pos="284"/>
        </w:tabs>
        <w:jc w:val="both"/>
        <w:rPr>
          <w:rFonts w:asciiTheme="minorHAnsi" w:hAnsiTheme="minorHAnsi" w:cstheme="minorHAnsi"/>
        </w:rPr>
      </w:pPr>
    </w:p>
    <w:p w:rsidR="00162A0F" w:rsidRDefault="00162A0F" w:rsidP="00FD1C8A">
      <w:pPr>
        <w:tabs>
          <w:tab w:val="left" w:pos="284"/>
        </w:tabs>
        <w:jc w:val="both"/>
        <w:rPr>
          <w:rFonts w:asciiTheme="minorHAnsi" w:hAnsiTheme="minorHAnsi" w:cstheme="minorHAnsi"/>
          <w:b/>
        </w:rPr>
      </w:pPr>
    </w:p>
    <w:p w:rsidR="00FF2A1F" w:rsidRPr="00C316B0" w:rsidRDefault="00FF2A1F" w:rsidP="00FD1C8A">
      <w:pPr>
        <w:tabs>
          <w:tab w:val="left" w:pos="284"/>
        </w:tabs>
        <w:jc w:val="both"/>
        <w:rPr>
          <w:rFonts w:asciiTheme="minorHAnsi" w:hAnsiTheme="minorHAnsi" w:cstheme="minorHAnsi"/>
          <w:b/>
        </w:rPr>
      </w:pPr>
    </w:p>
    <w:p w:rsidR="00162A0F" w:rsidRPr="00C316B0" w:rsidRDefault="00162A0F" w:rsidP="00FD1C8A">
      <w:pPr>
        <w:tabs>
          <w:tab w:val="left" w:pos="284"/>
        </w:tabs>
        <w:jc w:val="both"/>
        <w:rPr>
          <w:rFonts w:asciiTheme="minorHAnsi" w:hAnsiTheme="minorHAnsi" w:cstheme="minorHAnsi"/>
          <w:b/>
        </w:rPr>
      </w:pPr>
      <w:r w:rsidRPr="00C316B0">
        <w:rPr>
          <w:rFonts w:asciiTheme="minorHAnsi" w:hAnsiTheme="minorHAnsi" w:cstheme="minorHAnsi"/>
          <w:b/>
        </w:rPr>
        <w:t>ATTIVITA’ DI RIAPERTURA DELLE IMMOBILIZZAZIONI MATERIALI ED IMMATERIALI</w:t>
      </w:r>
    </w:p>
    <w:p w:rsidR="00162A0F" w:rsidRPr="00C316B0" w:rsidRDefault="00162A0F" w:rsidP="00FD1C8A">
      <w:pPr>
        <w:pStyle w:val="Paragrafoelenco"/>
        <w:numPr>
          <w:ilvl w:val="0"/>
          <w:numId w:val="4"/>
        </w:numPr>
        <w:tabs>
          <w:tab w:val="left" w:pos="284"/>
        </w:tabs>
        <w:suppressAutoHyphens/>
        <w:spacing w:line="240" w:lineRule="auto"/>
        <w:jc w:val="both"/>
        <w:rPr>
          <w:rFonts w:cstheme="minorHAnsi"/>
          <w:sz w:val="24"/>
          <w:szCs w:val="24"/>
        </w:rPr>
      </w:pPr>
      <w:r w:rsidRPr="00C316B0">
        <w:rPr>
          <w:rFonts w:cstheme="minorHAnsi"/>
          <w:b/>
          <w:sz w:val="24"/>
          <w:szCs w:val="24"/>
        </w:rPr>
        <w:t>Riclassificazione</w:t>
      </w:r>
      <w:r w:rsidRPr="00C316B0">
        <w:rPr>
          <w:rFonts w:cstheme="minorHAnsi"/>
          <w:sz w:val="24"/>
          <w:szCs w:val="24"/>
        </w:rPr>
        <w:t xml:space="preserve"> delle immobilizzazioni di dettaglio, al nuovo Piano Integrato dei Conti 2018;</w:t>
      </w:r>
    </w:p>
    <w:p w:rsidR="00162A0F" w:rsidRPr="00C316B0" w:rsidRDefault="00162A0F" w:rsidP="00FD1C8A">
      <w:pPr>
        <w:pStyle w:val="Paragrafoelenco"/>
        <w:numPr>
          <w:ilvl w:val="0"/>
          <w:numId w:val="4"/>
        </w:numPr>
        <w:tabs>
          <w:tab w:val="left" w:pos="284"/>
        </w:tabs>
        <w:suppressAutoHyphens/>
        <w:spacing w:line="240" w:lineRule="auto"/>
        <w:jc w:val="both"/>
        <w:rPr>
          <w:rFonts w:cstheme="minorHAnsi"/>
          <w:sz w:val="24"/>
          <w:szCs w:val="24"/>
        </w:rPr>
      </w:pPr>
      <w:r w:rsidRPr="00C316B0">
        <w:rPr>
          <w:rFonts w:cstheme="minorHAnsi"/>
          <w:b/>
          <w:sz w:val="24"/>
          <w:szCs w:val="24"/>
        </w:rPr>
        <w:t>Produzione</w:t>
      </w:r>
      <w:r w:rsidRPr="00C316B0">
        <w:rPr>
          <w:rFonts w:cstheme="minorHAnsi"/>
          <w:sz w:val="24"/>
          <w:szCs w:val="24"/>
        </w:rPr>
        <w:t xml:space="preserve"> del modello dimostrativo della riapertura dello Stato Patrimoniale (beni immobili) al 01/01/2018;</w:t>
      </w:r>
    </w:p>
    <w:p w:rsidR="00162A0F" w:rsidRPr="00C316B0" w:rsidRDefault="00162A0F" w:rsidP="00FD1C8A">
      <w:pPr>
        <w:pStyle w:val="Paragrafoelenco"/>
        <w:numPr>
          <w:ilvl w:val="0"/>
          <w:numId w:val="4"/>
        </w:numPr>
        <w:tabs>
          <w:tab w:val="left" w:pos="284"/>
        </w:tabs>
        <w:suppressAutoHyphens/>
        <w:spacing w:line="240" w:lineRule="auto"/>
        <w:jc w:val="both"/>
        <w:rPr>
          <w:rFonts w:cstheme="minorHAnsi"/>
          <w:sz w:val="24"/>
          <w:szCs w:val="24"/>
        </w:rPr>
      </w:pPr>
      <w:r w:rsidRPr="00C316B0">
        <w:rPr>
          <w:rFonts w:cstheme="minorHAnsi"/>
          <w:b/>
          <w:sz w:val="24"/>
          <w:szCs w:val="24"/>
        </w:rPr>
        <w:lastRenderedPageBreak/>
        <w:t>Rivalutazione</w:t>
      </w:r>
      <w:r w:rsidRPr="00C316B0">
        <w:rPr>
          <w:rFonts w:cstheme="minorHAnsi"/>
          <w:sz w:val="24"/>
          <w:szCs w:val="24"/>
        </w:rPr>
        <w:t xml:space="preserve"> attraverso l’adeguamento ai nuovi principi estimativi delle posizioni inventariali sottostimate;</w:t>
      </w:r>
    </w:p>
    <w:p w:rsidR="00162A0F" w:rsidRPr="00C316B0" w:rsidRDefault="00162A0F" w:rsidP="00FD1C8A">
      <w:pPr>
        <w:pStyle w:val="Paragrafoelenco"/>
        <w:numPr>
          <w:ilvl w:val="0"/>
          <w:numId w:val="4"/>
        </w:numPr>
        <w:tabs>
          <w:tab w:val="left" w:pos="284"/>
        </w:tabs>
        <w:suppressAutoHyphens/>
        <w:spacing w:line="240" w:lineRule="auto"/>
        <w:jc w:val="both"/>
        <w:rPr>
          <w:rFonts w:cstheme="minorHAnsi"/>
          <w:sz w:val="24"/>
          <w:szCs w:val="24"/>
        </w:rPr>
      </w:pPr>
      <w:r w:rsidRPr="00C316B0">
        <w:rPr>
          <w:rFonts w:cstheme="minorHAnsi"/>
          <w:b/>
          <w:sz w:val="24"/>
          <w:szCs w:val="24"/>
        </w:rPr>
        <w:t>Applicazione</w:t>
      </w:r>
      <w:r w:rsidRPr="00C316B0">
        <w:rPr>
          <w:rFonts w:cstheme="minorHAnsi"/>
          <w:sz w:val="24"/>
          <w:szCs w:val="24"/>
        </w:rPr>
        <w:t xml:space="preserve"> degli ammortamenti secondo quanto disposto dalla norma;</w:t>
      </w:r>
    </w:p>
    <w:p w:rsidR="00162A0F" w:rsidRPr="00C316B0" w:rsidRDefault="00162A0F" w:rsidP="00FD1C8A">
      <w:pPr>
        <w:tabs>
          <w:tab w:val="left" w:pos="284"/>
        </w:tabs>
        <w:jc w:val="both"/>
        <w:rPr>
          <w:rFonts w:asciiTheme="minorHAnsi" w:hAnsiTheme="minorHAnsi" w:cstheme="minorHAnsi"/>
          <w:b/>
          <w:i/>
        </w:rPr>
      </w:pP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b/>
        </w:rPr>
        <w:t>RICLASSIFICAZIONE DEI CESPITI SUL PIANO DEI CONTI 2018.</w:t>
      </w: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rPr>
        <w:t>L’attività di riclassificazione consiste nell’attribuire a ciascun cespite la voce di piano dei conti più corretta, in funzione della sua condizione giuridica (ad es. “Demaniale”) o della sua destinazione d’uso (ad es. “Fabbricati ad uso scolastico” ecc). Dalla nuova classificazione – applicata anche ai beni mobili, redistribuiti nelle nuove voci del piano dei conti armonizzato - viene determinata, in ottemperanza al principio contabile, l’aliquota di ammortamento da applicare al valore.</w:t>
      </w:r>
    </w:p>
    <w:p w:rsidR="00162A0F" w:rsidRPr="00C316B0" w:rsidRDefault="00162A0F" w:rsidP="00FD1C8A">
      <w:pPr>
        <w:autoSpaceDE w:val="0"/>
        <w:autoSpaceDN w:val="0"/>
        <w:adjustRightInd w:val="0"/>
        <w:jc w:val="both"/>
        <w:rPr>
          <w:rFonts w:asciiTheme="minorHAnsi" w:hAnsiTheme="minorHAnsi" w:cstheme="minorHAnsi"/>
        </w:rPr>
      </w:pPr>
    </w:p>
    <w:p w:rsidR="00162A0F" w:rsidRPr="00C316B0" w:rsidRDefault="00162A0F" w:rsidP="00FD1C8A">
      <w:pPr>
        <w:autoSpaceDE w:val="0"/>
        <w:autoSpaceDN w:val="0"/>
        <w:adjustRightInd w:val="0"/>
        <w:jc w:val="both"/>
        <w:rPr>
          <w:rFonts w:asciiTheme="minorHAnsi" w:eastAsiaTheme="minorHAnsi" w:hAnsiTheme="minorHAnsi" w:cstheme="minorHAnsi"/>
          <w:lang w:eastAsia="en-US"/>
        </w:rPr>
      </w:pPr>
    </w:p>
    <w:p w:rsidR="00162A0F" w:rsidRPr="00C316B0" w:rsidRDefault="00162A0F" w:rsidP="00FD1C8A">
      <w:pPr>
        <w:tabs>
          <w:tab w:val="left" w:pos="284"/>
        </w:tabs>
        <w:jc w:val="both"/>
        <w:rPr>
          <w:rFonts w:asciiTheme="minorHAnsi" w:hAnsiTheme="minorHAnsi" w:cstheme="minorHAnsi"/>
          <w:b/>
        </w:rPr>
      </w:pPr>
      <w:r w:rsidRPr="00C316B0">
        <w:rPr>
          <w:rFonts w:asciiTheme="minorHAnsi" w:hAnsiTheme="minorHAnsi" w:cstheme="minorHAnsi"/>
          <w:b/>
        </w:rPr>
        <w:t>APPLICAZIONE DEGLI AMMORTAMENTI PATRIMONIALI</w:t>
      </w: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rPr>
        <w:t>Il nuovo Ordinamento contabile determina diverse vite utili in funzione della singola voce di Piano dei Conti diversificando la quota d’ammortamento annuale a seconda della categoria presa in esame (ad es. i Mezzi stradali pesanti sono ora soggetti ad un diverso ammortamento rispetto a quelli Leggeri &lt; alle 3.5 t).</w:t>
      </w:r>
    </w:p>
    <w:p w:rsidR="00162A0F" w:rsidRPr="00C316B0" w:rsidRDefault="00162A0F" w:rsidP="00FD1C8A">
      <w:pPr>
        <w:tabs>
          <w:tab w:val="left" w:pos="284"/>
        </w:tabs>
        <w:jc w:val="both"/>
        <w:rPr>
          <w:rFonts w:asciiTheme="minorHAnsi" w:hAnsiTheme="minorHAnsi" w:cstheme="minorHAnsi"/>
        </w:rPr>
      </w:pPr>
    </w:p>
    <w:p w:rsidR="00162A0F" w:rsidRDefault="00162A0F" w:rsidP="00FD1C8A">
      <w:pPr>
        <w:tabs>
          <w:tab w:val="left" w:pos="284"/>
        </w:tabs>
        <w:jc w:val="both"/>
        <w:rPr>
          <w:rFonts w:asciiTheme="minorHAnsi" w:hAnsiTheme="minorHAnsi" w:cstheme="minorHAnsi"/>
        </w:rPr>
      </w:pPr>
      <w:r w:rsidRPr="00C316B0">
        <w:rPr>
          <w:rFonts w:asciiTheme="minorHAnsi" w:hAnsiTheme="minorHAnsi" w:cstheme="minorHAnsi"/>
        </w:rPr>
        <w:t>Di seguito la tabella esplicativa:</w:t>
      </w:r>
    </w:p>
    <w:p w:rsidR="00982163" w:rsidRDefault="00982163" w:rsidP="00FD1C8A">
      <w:pPr>
        <w:tabs>
          <w:tab w:val="left" w:pos="284"/>
        </w:tabs>
        <w:jc w:val="both"/>
        <w:rPr>
          <w:rFonts w:asciiTheme="minorHAnsi" w:hAnsiTheme="minorHAnsi" w:cstheme="minorHAnsi"/>
        </w:rPr>
      </w:pPr>
    </w:p>
    <w:tbl>
      <w:tblPr>
        <w:tblW w:w="8400" w:type="dxa"/>
        <w:tblInd w:w="-10" w:type="dxa"/>
        <w:tblCellMar>
          <w:left w:w="70" w:type="dxa"/>
          <w:right w:w="70" w:type="dxa"/>
        </w:tblCellMar>
        <w:tblLook w:val="04A0"/>
      </w:tblPr>
      <w:tblGrid>
        <w:gridCol w:w="6980"/>
        <w:gridCol w:w="1420"/>
      </w:tblGrid>
      <w:tr w:rsidR="00982163" w:rsidRPr="00982163" w:rsidTr="00982163">
        <w:trPr>
          <w:trHeight w:val="645"/>
        </w:trPr>
        <w:tc>
          <w:tcPr>
            <w:tcW w:w="6980" w:type="dxa"/>
            <w:tcBorders>
              <w:top w:val="single" w:sz="8" w:space="0" w:color="4472C4"/>
              <w:left w:val="single" w:sz="8" w:space="0" w:color="4472C4"/>
              <w:bottom w:val="single" w:sz="8" w:space="0" w:color="4472C4"/>
              <w:right w:val="single" w:sz="8" w:space="0" w:color="4472C4"/>
            </w:tcBorders>
            <w:shd w:val="clear" w:color="000000" w:fill="4472C4"/>
            <w:vAlign w:val="center"/>
            <w:hideMark/>
          </w:tcPr>
          <w:p w:rsidR="00982163" w:rsidRPr="00982163" w:rsidRDefault="00982163" w:rsidP="00982163">
            <w:pPr>
              <w:jc w:val="both"/>
              <w:rPr>
                <w:rFonts w:ascii="Calibri" w:hAnsi="Calibri" w:cs="Calibri"/>
                <w:color w:val="FFFFFF"/>
              </w:rPr>
            </w:pPr>
            <w:r w:rsidRPr="00982163">
              <w:rPr>
                <w:rFonts w:ascii="Calibri" w:hAnsi="Calibri" w:cs="Calibri"/>
                <w:color w:val="FFFFFF"/>
              </w:rPr>
              <w:t>Tipologia beni</w:t>
            </w:r>
          </w:p>
        </w:tc>
        <w:tc>
          <w:tcPr>
            <w:tcW w:w="1420" w:type="dxa"/>
            <w:tcBorders>
              <w:top w:val="single" w:sz="8" w:space="0" w:color="4472C4"/>
              <w:left w:val="nil"/>
              <w:bottom w:val="single" w:sz="8" w:space="0" w:color="4472C4"/>
              <w:right w:val="single" w:sz="8" w:space="0" w:color="4472C4"/>
            </w:tcBorders>
            <w:shd w:val="clear" w:color="000000" w:fill="4472C4"/>
            <w:vAlign w:val="center"/>
            <w:hideMark/>
          </w:tcPr>
          <w:p w:rsidR="00982163" w:rsidRPr="00982163" w:rsidRDefault="00982163" w:rsidP="00982163">
            <w:pPr>
              <w:jc w:val="center"/>
              <w:rPr>
                <w:rFonts w:ascii="Calibri" w:hAnsi="Calibri" w:cs="Calibri"/>
                <w:color w:val="FFFFFF"/>
              </w:rPr>
            </w:pPr>
            <w:r w:rsidRPr="00982163">
              <w:rPr>
                <w:rFonts w:ascii="Calibri" w:hAnsi="Calibri" w:cs="Calibri"/>
                <w:color w:val="FFFFFF"/>
              </w:rPr>
              <w:t>Coefficiente annuo</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Mezzi di trasporto stradali leggeri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Mezzi di trasporto stradali pesanti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10%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Automezzi ad uso specifico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10%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Mezzi di trasporto aerei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5%</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Mezzi di trasporto marittimi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5%</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Macchinari per ufficio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Impianti e attrezzature</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5%</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Hardware</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25%</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Fabbricati civili ad uso abitativo commerciale istituzionale</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Equipaggiamento e vestiario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Materiale bibliografico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5%</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Mobili e arredi per ufficio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10%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Mobili e arredi per alloggi e pertinenze</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10%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Mobili e arredi per locali ad uso specifico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10%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Strumenti musicali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Opere dell'ingegno - software prodotto</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20%</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lastRenderedPageBreak/>
              <w:t>Fabbricati demaniali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Altri beni demaniali e infrastrutture demaniali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3%</w:t>
            </w:r>
          </w:p>
        </w:tc>
      </w:tr>
      <w:tr w:rsidR="00982163" w:rsidRPr="00982163" w:rsidTr="00982163">
        <w:trPr>
          <w:trHeight w:val="435"/>
        </w:trPr>
        <w:tc>
          <w:tcPr>
            <w:tcW w:w="6980" w:type="dxa"/>
            <w:tcBorders>
              <w:top w:val="nil"/>
              <w:left w:val="single" w:sz="8" w:space="0" w:color="4472C4"/>
              <w:bottom w:val="single" w:sz="8" w:space="0" w:color="4472C4"/>
              <w:right w:val="single" w:sz="8" w:space="0" w:color="4472C4"/>
            </w:tcBorders>
            <w:shd w:val="clear" w:color="000000" w:fill="FFFFFF"/>
            <w:vAlign w:val="center"/>
            <w:hideMark/>
          </w:tcPr>
          <w:p w:rsidR="00982163" w:rsidRPr="00982163" w:rsidRDefault="00982163" w:rsidP="00982163">
            <w:pPr>
              <w:jc w:val="both"/>
              <w:rPr>
                <w:rFonts w:ascii="Calibri" w:hAnsi="Calibri" w:cs="Calibri"/>
                <w:color w:val="333333"/>
              </w:rPr>
            </w:pPr>
            <w:r w:rsidRPr="00982163">
              <w:rPr>
                <w:rFonts w:ascii="Calibri" w:hAnsi="Calibri" w:cs="Calibri"/>
                <w:color w:val="333333"/>
              </w:rPr>
              <w:t>Beni immateriali</w:t>
            </w:r>
          </w:p>
        </w:tc>
        <w:tc>
          <w:tcPr>
            <w:tcW w:w="1420" w:type="dxa"/>
            <w:tcBorders>
              <w:top w:val="nil"/>
              <w:left w:val="nil"/>
              <w:bottom w:val="single" w:sz="8" w:space="0" w:color="4472C4"/>
              <w:right w:val="single" w:sz="8" w:space="0" w:color="4472C4"/>
            </w:tcBorders>
            <w:shd w:val="clear" w:color="auto" w:fill="auto"/>
            <w:vAlign w:val="center"/>
            <w:hideMark/>
          </w:tcPr>
          <w:p w:rsidR="00982163" w:rsidRPr="00982163" w:rsidRDefault="00982163" w:rsidP="00982163">
            <w:pPr>
              <w:jc w:val="center"/>
              <w:rPr>
                <w:rFonts w:ascii="Calibri" w:hAnsi="Calibri" w:cs="Calibri"/>
                <w:b/>
                <w:bCs/>
                <w:color w:val="333333"/>
              </w:rPr>
            </w:pPr>
            <w:r w:rsidRPr="00982163">
              <w:rPr>
                <w:rFonts w:ascii="Calibri" w:hAnsi="Calibri" w:cs="Calibri"/>
                <w:b/>
                <w:bCs/>
                <w:color w:val="333333"/>
              </w:rPr>
              <w:t>20%</w:t>
            </w:r>
          </w:p>
        </w:tc>
      </w:tr>
    </w:tbl>
    <w:p w:rsidR="00982163" w:rsidRDefault="00982163" w:rsidP="00FD1C8A">
      <w:pPr>
        <w:tabs>
          <w:tab w:val="left" w:pos="284"/>
        </w:tabs>
        <w:jc w:val="both"/>
        <w:rPr>
          <w:rFonts w:asciiTheme="minorHAnsi" w:hAnsiTheme="minorHAnsi" w:cstheme="minorHAnsi"/>
        </w:rPr>
      </w:pPr>
    </w:p>
    <w:p w:rsidR="00162A0F" w:rsidRPr="00C316B0" w:rsidRDefault="00162A0F" w:rsidP="00FD1C8A">
      <w:pPr>
        <w:spacing w:line="256" w:lineRule="auto"/>
        <w:jc w:val="both"/>
        <w:rPr>
          <w:rFonts w:asciiTheme="minorHAnsi" w:hAnsiTheme="minorHAnsi" w:cstheme="minorHAnsi"/>
          <w:b/>
        </w:rPr>
      </w:pPr>
      <w:r w:rsidRPr="00C316B0">
        <w:rPr>
          <w:rFonts w:asciiTheme="minorHAnsi" w:hAnsiTheme="minorHAnsi" w:cstheme="minorHAnsi"/>
          <w:b/>
        </w:rPr>
        <w:br w:type="page"/>
      </w:r>
    </w:p>
    <w:p w:rsidR="00162A0F" w:rsidRPr="00C316B0" w:rsidRDefault="00162A0F" w:rsidP="00FD1C8A">
      <w:pPr>
        <w:tabs>
          <w:tab w:val="left" w:pos="284"/>
        </w:tabs>
        <w:jc w:val="both"/>
        <w:rPr>
          <w:rFonts w:asciiTheme="minorHAnsi" w:hAnsiTheme="minorHAnsi" w:cstheme="minorHAnsi"/>
          <w:b/>
        </w:rPr>
      </w:pPr>
      <w:r w:rsidRPr="00C316B0">
        <w:rPr>
          <w:rFonts w:asciiTheme="minorHAnsi" w:hAnsiTheme="minorHAnsi" w:cstheme="minorHAnsi"/>
          <w:b/>
        </w:rPr>
        <w:lastRenderedPageBreak/>
        <w:t>ATTIVITA’ DI AGGIORNAMENTO DELL’ESERCIZIO 2018</w:t>
      </w:r>
    </w:p>
    <w:p w:rsidR="00162A0F" w:rsidRPr="00C316B0" w:rsidRDefault="00A45D73" w:rsidP="00FD1C8A">
      <w:pPr>
        <w:pStyle w:val="Paragrafoelenco"/>
        <w:tabs>
          <w:tab w:val="left" w:pos="284"/>
        </w:tabs>
        <w:spacing w:line="240" w:lineRule="auto"/>
        <w:ind w:left="0"/>
        <w:jc w:val="both"/>
        <w:rPr>
          <w:rFonts w:cstheme="minorHAnsi"/>
          <w:sz w:val="24"/>
          <w:szCs w:val="24"/>
        </w:rPr>
      </w:pPr>
      <w:r>
        <w:rPr>
          <w:rFonts w:cstheme="minorHAnsi"/>
          <w:sz w:val="24"/>
          <w:szCs w:val="24"/>
        </w:rPr>
        <w:t>E’</w:t>
      </w:r>
      <w:r w:rsidR="00162A0F" w:rsidRPr="00C316B0">
        <w:rPr>
          <w:rFonts w:cstheme="minorHAnsi"/>
          <w:sz w:val="24"/>
          <w:szCs w:val="24"/>
        </w:rPr>
        <w:t xml:space="preserve"> necessario premettere che il Decreto 118/2011 introduce puntuali principi contabili che direttamente influenzano le modalità di aggiornamento economico-patrimoniali.</w:t>
      </w:r>
    </w:p>
    <w:p w:rsidR="00162A0F" w:rsidRPr="00C316B0" w:rsidRDefault="00162A0F" w:rsidP="00FD1C8A">
      <w:pPr>
        <w:pStyle w:val="Paragrafoelenco"/>
        <w:tabs>
          <w:tab w:val="left" w:pos="284"/>
        </w:tabs>
        <w:spacing w:line="240" w:lineRule="auto"/>
        <w:ind w:left="0"/>
        <w:jc w:val="both"/>
        <w:rPr>
          <w:rFonts w:cstheme="minorHAnsi"/>
          <w:sz w:val="24"/>
          <w:szCs w:val="24"/>
        </w:rPr>
      </w:pPr>
      <w:r w:rsidRPr="00C316B0">
        <w:rPr>
          <w:rFonts w:cstheme="minorHAnsi"/>
          <w:sz w:val="24"/>
          <w:szCs w:val="24"/>
        </w:rPr>
        <w:t>In particolare il principio di Competenza potenziata e di Uniformità dei bilanci impongono una diversa modalità di aggiornamento delle scritture patrimoniali, quali la determinazione del primo movimento alla Liquidazione della Spesa o all’Accertamento dell’Entrata e l’imprescindibile coordinamento reciproco tra movimenti finanziari e scritture contabili.</w:t>
      </w: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rPr>
        <w:t>Successivamente sono stati richiesti e raccolti i documenti relativi alle seguenti variazioni:</w:t>
      </w:r>
    </w:p>
    <w:p w:rsidR="00162A0F" w:rsidRPr="00C316B0" w:rsidRDefault="00162A0F" w:rsidP="00FD1C8A">
      <w:pPr>
        <w:pStyle w:val="Paragrafoelenco"/>
        <w:numPr>
          <w:ilvl w:val="0"/>
          <w:numId w:val="5"/>
        </w:numPr>
        <w:tabs>
          <w:tab w:val="left" w:pos="284"/>
        </w:tabs>
        <w:suppressAutoHyphens/>
        <w:spacing w:line="240" w:lineRule="auto"/>
        <w:jc w:val="both"/>
        <w:rPr>
          <w:rFonts w:cstheme="minorHAnsi"/>
          <w:sz w:val="24"/>
          <w:szCs w:val="24"/>
        </w:rPr>
      </w:pPr>
      <w:r w:rsidRPr="00C316B0">
        <w:rPr>
          <w:rFonts w:cstheme="minorHAnsi"/>
          <w:sz w:val="24"/>
          <w:szCs w:val="24"/>
        </w:rPr>
        <w:t>Raccolta delle fatture dei beni mobili;</w:t>
      </w:r>
    </w:p>
    <w:p w:rsidR="00162A0F" w:rsidRPr="00C316B0" w:rsidRDefault="00162A0F" w:rsidP="00FD1C8A">
      <w:pPr>
        <w:pStyle w:val="Paragrafoelenco"/>
        <w:numPr>
          <w:ilvl w:val="0"/>
          <w:numId w:val="5"/>
        </w:numPr>
        <w:tabs>
          <w:tab w:val="left" w:pos="284"/>
        </w:tabs>
        <w:suppressAutoHyphens/>
        <w:spacing w:line="240" w:lineRule="auto"/>
        <w:jc w:val="both"/>
        <w:rPr>
          <w:rFonts w:cstheme="minorHAnsi"/>
          <w:sz w:val="24"/>
          <w:szCs w:val="24"/>
        </w:rPr>
      </w:pPr>
      <w:r w:rsidRPr="00C316B0">
        <w:rPr>
          <w:rFonts w:cstheme="minorHAnsi"/>
          <w:sz w:val="24"/>
          <w:szCs w:val="24"/>
        </w:rPr>
        <w:t>Analisi delle spese emergenti dalla migrazione contabile;</w:t>
      </w:r>
    </w:p>
    <w:p w:rsidR="00162A0F" w:rsidRPr="00C316B0" w:rsidRDefault="00162A0F" w:rsidP="00FD1C8A">
      <w:pPr>
        <w:pStyle w:val="Paragrafoelenco"/>
        <w:numPr>
          <w:ilvl w:val="0"/>
          <w:numId w:val="5"/>
        </w:numPr>
        <w:tabs>
          <w:tab w:val="left" w:pos="284"/>
        </w:tabs>
        <w:suppressAutoHyphens/>
        <w:spacing w:line="240" w:lineRule="auto"/>
        <w:jc w:val="both"/>
        <w:rPr>
          <w:rFonts w:cstheme="minorHAnsi"/>
          <w:sz w:val="24"/>
          <w:szCs w:val="24"/>
        </w:rPr>
      </w:pPr>
      <w:r w:rsidRPr="00C316B0">
        <w:rPr>
          <w:rFonts w:cstheme="minorHAnsi"/>
          <w:sz w:val="24"/>
          <w:szCs w:val="24"/>
        </w:rPr>
        <w:t>Analisi degli accertamenti emersi dalla migrazione contabile.</w:t>
      </w:r>
    </w:p>
    <w:p w:rsidR="00162A0F" w:rsidRPr="00C316B0" w:rsidRDefault="00162A0F" w:rsidP="00FD1C8A">
      <w:pPr>
        <w:tabs>
          <w:tab w:val="left" w:pos="284"/>
        </w:tabs>
        <w:jc w:val="both"/>
        <w:rPr>
          <w:rFonts w:asciiTheme="minorHAnsi" w:hAnsiTheme="minorHAnsi" w:cstheme="minorHAnsi"/>
        </w:rPr>
      </w:pPr>
      <w:r w:rsidRPr="00C316B0">
        <w:rPr>
          <w:rFonts w:asciiTheme="minorHAnsi" w:hAnsiTheme="minorHAnsi" w:cstheme="minorHAnsi"/>
        </w:rPr>
        <w:t>Analizzata la documentazione reperita e effettuate le conseguenti variazioni patrimoniali si è proceduto alla disamina delle spese capitali ancora presenti sul sistema procedendo alla corretta imputazione al relativo cespite avvalendosi delle indicazioni riportate contabilmente e in alcuni casi alla lettur</w:t>
      </w:r>
      <w:r w:rsidR="00EF538A">
        <w:rPr>
          <w:rFonts w:asciiTheme="minorHAnsi" w:hAnsiTheme="minorHAnsi" w:cstheme="minorHAnsi"/>
        </w:rPr>
        <w:t>a delle determinazioni</w:t>
      </w:r>
      <w:r w:rsidRPr="00C316B0">
        <w:rPr>
          <w:rFonts w:asciiTheme="minorHAnsi" w:hAnsiTheme="minorHAnsi" w:cstheme="minorHAnsi"/>
        </w:rPr>
        <w:t xml:space="preserve"> di liquidazione.</w:t>
      </w:r>
    </w:p>
    <w:p w:rsidR="00FD1C8A" w:rsidRPr="00C316B0" w:rsidRDefault="00FD1C8A" w:rsidP="00FD1C8A">
      <w:pPr>
        <w:spacing w:line="259" w:lineRule="auto"/>
        <w:jc w:val="both"/>
        <w:rPr>
          <w:rFonts w:asciiTheme="minorHAnsi" w:hAnsiTheme="minorHAnsi" w:cstheme="minorHAnsi"/>
        </w:rPr>
      </w:pPr>
    </w:p>
    <w:p w:rsidR="00FD1C8A" w:rsidRPr="00C316B0" w:rsidRDefault="00FD1C8A" w:rsidP="00FD1C8A">
      <w:pPr>
        <w:spacing w:line="259" w:lineRule="auto"/>
        <w:jc w:val="both"/>
        <w:rPr>
          <w:rFonts w:asciiTheme="minorHAnsi" w:hAnsiTheme="minorHAnsi" w:cstheme="minorHAnsi"/>
        </w:rPr>
      </w:pPr>
      <w:r w:rsidRPr="00C316B0">
        <w:rPr>
          <w:rFonts w:asciiTheme="minorHAnsi" w:hAnsiTheme="minorHAnsi" w:cstheme="minorHAnsi"/>
        </w:rPr>
        <w:t xml:space="preserve">Nell’attività di aggiornamento sono state effettuate le seguenti principali </w:t>
      </w:r>
      <w:r w:rsidR="00EC4602">
        <w:rPr>
          <w:rFonts w:asciiTheme="minorHAnsi" w:hAnsiTheme="minorHAnsi" w:cstheme="minorHAnsi"/>
        </w:rPr>
        <w:t>movimentazioni</w:t>
      </w:r>
      <w:r w:rsidRPr="00C316B0">
        <w:rPr>
          <w:rFonts w:asciiTheme="minorHAnsi" w:hAnsiTheme="minorHAnsi" w:cstheme="minorHAnsi"/>
        </w:rPr>
        <w:t xml:space="preserve"> di rivalutazione:</w:t>
      </w:r>
    </w:p>
    <w:p w:rsidR="00FD1C8A" w:rsidRPr="00C316B0" w:rsidRDefault="00FD1C8A" w:rsidP="00FD1C8A">
      <w:pPr>
        <w:pStyle w:val="Paragrafoelenco"/>
        <w:numPr>
          <w:ilvl w:val="0"/>
          <w:numId w:val="7"/>
        </w:numPr>
        <w:spacing w:line="259" w:lineRule="auto"/>
        <w:jc w:val="both"/>
        <w:rPr>
          <w:rFonts w:eastAsia="Times New Roman" w:cstheme="minorHAnsi"/>
          <w:sz w:val="24"/>
          <w:szCs w:val="24"/>
          <w:lang w:eastAsia="it-IT"/>
        </w:rPr>
      </w:pPr>
      <w:r w:rsidRPr="00C316B0">
        <w:rPr>
          <w:rFonts w:eastAsia="Times New Roman" w:cstheme="minorHAnsi"/>
          <w:sz w:val="24"/>
          <w:szCs w:val="24"/>
          <w:lang w:eastAsia="it-IT"/>
        </w:rPr>
        <w:t xml:space="preserve">Svalutazione dei crediti a mezzo del Fondo Svalutazione Crediti per un importo pari al Fondo Crediti Dubbia Esigibilità </w:t>
      </w:r>
      <w:r w:rsidR="00EC4602">
        <w:rPr>
          <w:rFonts w:eastAsia="Times New Roman" w:cstheme="minorHAnsi"/>
          <w:sz w:val="24"/>
          <w:szCs w:val="24"/>
          <w:lang w:eastAsia="it-IT"/>
        </w:rPr>
        <w:t>di</w:t>
      </w:r>
      <w:r w:rsidRPr="00C316B0">
        <w:rPr>
          <w:rFonts w:eastAsia="Times New Roman" w:cstheme="minorHAnsi"/>
          <w:sz w:val="24"/>
          <w:szCs w:val="24"/>
          <w:lang w:eastAsia="it-IT"/>
        </w:rPr>
        <w:t xml:space="preserve"> </w:t>
      </w:r>
      <w:r w:rsidRPr="001B3BCF">
        <w:rPr>
          <w:rFonts w:eastAsia="Times New Roman" w:cstheme="minorHAnsi"/>
          <w:sz w:val="24"/>
          <w:szCs w:val="24"/>
          <w:lang w:eastAsia="it-IT"/>
        </w:rPr>
        <w:t xml:space="preserve">€ </w:t>
      </w:r>
      <w:r w:rsidR="00FF2A1F" w:rsidRPr="001B3BCF">
        <w:rPr>
          <w:rFonts w:eastAsia="Times New Roman" w:cstheme="minorHAnsi"/>
          <w:sz w:val="24"/>
          <w:szCs w:val="24"/>
          <w:lang w:eastAsia="it-IT"/>
        </w:rPr>
        <w:t>6.873,51</w:t>
      </w:r>
      <w:r w:rsidR="00FF2A1F" w:rsidRPr="00C316B0">
        <w:rPr>
          <w:rFonts w:eastAsia="Times New Roman" w:cstheme="minorHAnsi"/>
          <w:sz w:val="24"/>
          <w:szCs w:val="24"/>
          <w:lang w:eastAsia="it-IT"/>
        </w:rPr>
        <w:t xml:space="preserve"> </w:t>
      </w:r>
      <w:r w:rsidR="005D0A3C" w:rsidRPr="00C316B0">
        <w:rPr>
          <w:rFonts w:eastAsia="Times New Roman" w:cstheme="minorHAnsi"/>
          <w:sz w:val="24"/>
          <w:szCs w:val="24"/>
          <w:lang w:eastAsia="it-IT"/>
        </w:rPr>
        <w:t>(alla data del 1/1/2018)</w:t>
      </w:r>
      <w:r w:rsidRPr="00C316B0">
        <w:rPr>
          <w:rFonts w:eastAsia="Times New Roman" w:cstheme="minorHAnsi"/>
          <w:sz w:val="24"/>
          <w:szCs w:val="24"/>
          <w:lang w:eastAsia="it-IT"/>
        </w:rPr>
        <w:t>;</w:t>
      </w:r>
    </w:p>
    <w:p w:rsidR="00FD1C8A" w:rsidRPr="00C316B0" w:rsidRDefault="005D0A3C" w:rsidP="005D0A3C">
      <w:pPr>
        <w:pStyle w:val="Paragrafoelenco"/>
        <w:numPr>
          <w:ilvl w:val="0"/>
          <w:numId w:val="7"/>
        </w:numPr>
        <w:spacing w:line="259" w:lineRule="auto"/>
        <w:jc w:val="both"/>
        <w:rPr>
          <w:rFonts w:eastAsia="Times New Roman" w:cstheme="minorHAnsi"/>
          <w:sz w:val="24"/>
          <w:szCs w:val="24"/>
          <w:lang w:eastAsia="it-IT"/>
        </w:rPr>
      </w:pPr>
      <w:r w:rsidRPr="00C316B0">
        <w:rPr>
          <w:rFonts w:eastAsia="Times New Roman" w:cstheme="minorHAnsi"/>
          <w:sz w:val="24"/>
          <w:szCs w:val="24"/>
          <w:lang w:eastAsia="it-IT"/>
        </w:rPr>
        <w:t xml:space="preserve">Registrazione fondi per rischi ed oneri per € </w:t>
      </w:r>
      <w:r w:rsidR="00FF2A1F">
        <w:rPr>
          <w:rFonts w:eastAsia="Times New Roman" w:cstheme="minorHAnsi"/>
          <w:sz w:val="24"/>
          <w:szCs w:val="24"/>
          <w:lang w:eastAsia="it-IT"/>
        </w:rPr>
        <w:t>7.100,00</w:t>
      </w:r>
      <w:r w:rsidRPr="00C316B0">
        <w:rPr>
          <w:rFonts w:eastAsia="Times New Roman" w:cstheme="minorHAnsi"/>
          <w:sz w:val="24"/>
          <w:szCs w:val="24"/>
          <w:lang w:eastAsia="it-IT"/>
        </w:rPr>
        <w:t xml:space="preserve"> (alla data del 1/1/2018)</w:t>
      </w:r>
    </w:p>
    <w:p w:rsidR="00FD1C8A" w:rsidRDefault="005D0A3C" w:rsidP="005D0A3C">
      <w:pPr>
        <w:pStyle w:val="Paragrafoelenco"/>
        <w:numPr>
          <w:ilvl w:val="0"/>
          <w:numId w:val="7"/>
        </w:numPr>
        <w:spacing w:line="259" w:lineRule="auto"/>
        <w:jc w:val="both"/>
        <w:rPr>
          <w:rFonts w:eastAsia="Times New Roman" w:cstheme="minorHAnsi"/>
          <w:sz w:val="24"/>
          <w:szCs w:val="24"/>
          <w:lang w:eastAsia="it-IT"/>
        </w:rPr>
      </w:pPr>
      <w:r w:rsidRPr="00C316B0">
        <w:rPr>
          <w:rFonts w:eastAsia="Times New Roman" w:cstheme="minorHAnsi"/>
          <w:sz w:val="24"/>
          <w:szCs w:val="24"/>
          <w:lang w:eastAsia="it-IT"/>
        </w:rPr>
        <w:t>Registrazione delle riserve per beni demaniali e patrimoniali indisponibil</w:t>
      </w:r>
      <w:r w:rsidR="00EC4602">
        <w:rPr>
          <w:rFonts w:eastAsia="Times New Roman" w:cstheme="minorHAnsi"/>
          <w:sz w:val="24"/>
          <w:szCs w:val="24"/>
          <w:lang w:eastAsia="it-IT"/>
        </w:rPr>
        <w:t>i (riserva obbligatoria pari al valore in inventario dei beni demaniali e patrimoniali indisponibili)</w:t>
      </w:r>
      <w:r w:rsidRPr="00C316B0">
        <w:rPr>
          <w:rFonts w:eastAsia="Times New Roman" w:cstheme="minorHAnsi"/>
          <w:sz w:val="24"/>
          <w:szCs w:val="24"/>
          <w:lang w:eastAsia="it-IT"/>
        </w:rPr>
        <w:t xml:space="preserve"> per € </w:t>
      </w:r>
      <w:r w:rsidR="00B57486">
        <w:rPr>
          <w:rFonts w:eastAsia="Times New Roman" w:cstheme="minorHAnsi"/>
          <w:sz w:val="24"/>
          <w:szCs w:val="24"/>
          <w:lang w:eastAsia="it-IT"/>
        </w:rPr>
        <w:t>752.364,26</w:t>
      </w:r>
      <w:r w:rsidR="002F2EA5">
        <w:rPr>
          <w:rFonts w:eastAsia="Times New Roman" w:cstheme="minorHAnsi"/>
          <w:sz w:val="24"/>
          <w:szCs w:val="24"/>
          <w:lang w:eastAsia="it-IT"/>
        </w:rPr>
        <w:t xml:space="preserve"> (alla data del 1/1/2018)</w:t>
      </w:r>
    </w:p>
    <w:p w:rsidR="002F2EA5" w:rsidRPr="00C316B0" w:rsidRDefault="00B00096" w:rsidP="005D0A3C">
      <w:pPr>
        <w:pStyle w:val="Paragrafoelenco"/>
        <w:numPr>
          <w:ilvl w:val="0"/>
          <w:numId w:val="7"/>
        </w:numPr>
        <w:spacing w:line="259" w:lineRule="auto"/>
        <w:jc w:val="both"/>
        <w:rPr>
          <w:rFonts w:eastAsia="Times New Roman" w:cstheme="minorHAnsi"/>
          <w:sz w:val="24"/>
          <w:szCs w:val="24"/>
          <w:lang w:eastAsia="it-IT"/>
        </w:rPr>
      </w:pPr>
      <w:r>
        <w:rPr>
          <w:rFonts w:eastAsia="Times New Roman" w:cstheme="minorHAnsi"/>
          <w:sz w:val="24"/>
          <w:szCs w:val="24"/>
          <w:lang w:eastAsia="it-IT"/>
        </w:rPr>
        <w:t xml:space="preserve">Di conseguenza sono state rilevate delle riserve di rivalutazione negative per € </w:t>
      </w:r>
      <w:r w:rsidRPr="00B00096">
        <w:rPr>
          <w:rFonts w:eastAsia="Times New Roman" w:cstheme="minorHAnsi"/>
          <w:sz w:val="24"/>
          <w:szCs w:val="24"/>
          <w:lang w:eastAsia="it-IT"/>
        </w:rPr>
        <w:t>766.337,77</w:t>
      </w:r>
      <w:r>
        <w:rPr>
          <w:rFonts w:eastAsia="Times New Roman" w:cstheme="minorHAnsi"/>
          <w:sz w:val="24"/>
          <w:szCs w:val="24"/>
          <w:lang w:eastAsia="it-IT"/>
        </w:rPr>
        <w:t xml:space="preserve"> che, in fase di scritture di assestamento finali, sono state azzerate utilizzando in parte riserve facoltative (riserve da permessi di costruire) ed in parte hanno determinato riduzione un Fondo di dotazione che risulta pari a € 51.376,64 (valore al 31/12/2018).</w:t>
      </w:r>
    </w:p>
    <w:p w:rsidR="00726775" w:rsidRPr="00C316B0" w:rsidRDefault="00726775" w:rsidP="00FD1C8A">
      <w:pPr>
        <w:spacing w:line="259" w:lineRule="auto"/>
        <w:jc w:val="both"/>
        <w:rPr>
          <w:rFonts w:asciiTheme="minorHAnsi" w:eastAsiaTheme="majorEastAsia" w:hAnsiTheme="minorHAnsi" w:cstheme="minorHAnsi"/>
          <w:b/>
          <w:color w:val="000000" w:themeColor="text1"/>
        </w:rPr>
      </w:pPr>
      <w:r w:rsidRPr="00C316B0">
        <w:rPr>
          <w:rFonts w:asciiTheme="minorHAnsi" w:hAnsiTheme="minorHAnsi" w:cstheme="minorHAnsi"/>
        </w:rPr>
        <w:br w:type="page"/>
      </w:r>
    </w:p>
    <w:p w:rsidR="005F7CA9" w:rsidRPr="00C316B0" w:rsidRDefault="005F7CA9" w:rsidP="00FD1C8A">
      <w:pPr>
        <w:pStyle w:val="Titolo2"/>
        <w:jc w:val="both"/>
        <w:rPr>
          <w:rFonts w:asciiTheme="minorHAnsi" w:hAnsiTheme="minorHAnsi" w:cstheme="minorHAnsi"/>
          <w:sz w:val="24"/>
          <w:szCs w:val="24"/>
        </w:rPr>
      </w:pPr>
      <w:r w:rsidRPr="00C316B0">
        <w:rPr>
          <w:rFonts w:asciiTheme="minorHAnsi" w:hAnsiTheme="minorHAnsi" w:cstheme="minorHAnsi"/>
          <w:sz w:val="24"/>
          <w:szCs w:val="24"/>
        </w:rPr>
        <w:lastRenderedPageBreak/>
        <w:t>LO STATO PATRIMONIALE</w:t>
      </w:r>
      <w:bookmarkEnd w:id="2"/>
    </w:p>
    <w:p w:rsidR="005F7CA9" w:rsidRPr="00C316B0" w:rsidRDefault="005F7CA9"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t>L’ATTIVO IMMOBILIZZATO</w:t>
      </w:r>
    </w:p>
    <w:p w:rsidR="00191E67" w:rsidRPr="00C316B0" w:rsidRDefault="005F7CA9" w:rsidP="00FD1C8A">
      <w:pPr>
        <w:jc w:val="both"/>
        <w:rPr>
          <w:rFonts w:asciiTheme="minorHAnsi" w:hAnsiTheme="minorHAnsi" w:cstheme="minorHAnsi"/>
        </w:rPr>
      </w:pPr>
      <w:r w:rsidRPr="00C316B0">
        <w:rPr>
          <w:rFonts w:asciiTheme="minorHAnsi" w:hAnsiTheme="minorHAnsi" w:cstheme="minorHAnsi"/>
        </w:rPr>
        <w:t>L’attivo immobilizzato è stato</w:t>
      </w:r>
      <w:r w:rsidR="00BD3D0D" w:rsidRPr="00C316B0">
        <w:rPr>
          <w:rFonts w:asciiTheme="minorHAnsi" w:hAnsiTheme="minorHAnsi" w:cstheme="minorHAnsi"/>
        </w:rPr>
        <w:t xml:space="preserve"> iscritto utilizzando i criteri di valutazione previsti dal principio contabile applicato 4/3 e dagli OIC </w:t>
      </w:r>
      <w:r w:rsidR="005F0142" w:rsidRPr="00C316B0">
        <w:rPr>
          <w:rFonts w:asciiTheme="minorHAnsi" w:hAnsiTheme="minorHAnsi" w:cstheme="minorHAnsi"/>
        </w:rPr>
        <w:t xml:space="preserve">n. </w:t>
      </w:r>
      <w:r w:rsidR="00BD3D0D" w:rsidRPr="00C316B0">
        <w:rPr>
          <w:rFonts w:asciiTheme="minorHAnsi" w:hAnsiTheme="minorHAnsi" w:cstheme="minorHAnsi"/>
        </w:rPr>
        <w:t>16 e 24.</w:t>
      </w:r>
      <w:r w:rsidR="00191E67" w:rsidRPr="00C316B0">
        <w:rPr>
          <w:rFonts w:asciiTheme="minorHAnsi" w:hAnsiTheme="minorHAnsi" w:cstheme="minorHAnsi"/>
        </w:rPr>
        <w:t xml:space="preserve"> </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Il dettaglio è rappresentato da:</w:t>
      </w:r>
    </w:p>
    <w:p w:rsidR="00EC4602" w:rsidRDefault="00EC4602" w:rsidP="00FD1C8A">
      <w:pPr>
        <w:jc w:val="both"/>
        <w:rPr>
          <w:rFonts w:asciiTheme="minorHAnsi" w:hAnsiTheme="minorHAnsi" w:cstheme="minorHAnsi"/>
        </w:rPr>
      </w:pPr>
    </w:p>
    <w:p w:rsidR="00EC4602" w:rsidRDefault="00EC4602" w:rsidP="00FD1C8A">
      <w:pPr>
        <w:jc w:val="both"/>
        <w:rPr>
          <w:rFonts w:asciiTheme="minorHAnsi" w:hAnsiTheme="minorHAnsi" w:cstheme="minorHAnsi"/>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0"/>
        <w:gridCol w:w="5006"/>
        <w:gridCol w:w="1582"/>
        <w:gridCol w:w="1632"/>
      </w:tblGrid>
      <w:tr w:rsidR="00CF3542" w:rsidRPr="00011F51" w:rsidTr="001567B7">
        <w:trPr>
          <w:trHeight w:val="255"/>
        </w:trPr>
        <w:tc>
          <w:tcPr>
            <w:tcW w:w="865" w:type="pct"/>
            <w:shd w:val="clear" w:color="DDEBF7" w:fill="DDEBF7"/>
            <w:hideMark/>
          </w:tcPr>
          <w:p w:rsidR="00CF3542" w:rsidRPr="00011F51" w:rsidRDefault="00CF3542" w:rsidP="00011F51">
            <w:pPr>
              <w:rPr>
                <w:rFonts w:asciiTheme="minorHAnsi" w:hAnsiTheme="minorHAnsi" w:cstheme="minorHAnsi"/>
                <w:b/>
                <w:bCs/>
                <w:color w:val="000000"/>
                <w:sz w:val="20"/>
              </w:rPr>
            </w:pPr>
            <w:r w:rsidRPr="00011F51">
              <w:rPr>
                <w:rFonts w:asciiTheme="minorHAnsi" w:hAnsiTheme="minorHAnsi" w:cstheme="minorHAnsi"/>
                <w:b/>
                <w:bCs/>
                <w:color w:val="000000"/>
                <w:sz w:val="20"/>
              </w:rPr>
              <w:t>IF_PROSPETTO</w:t>
            </w:r>
          </w:p>
        </w:tc>
        <w:tc>
          <w:tcPr>
            <w:tcW w:w="2518" w:type="pct"/>
            <w:shd w:val="clear" w:color="DDEBF7" w:fill="DDEBF7"/>
            <w:hideMark/>
          </w:tcPr>
          <w:p w:rsidR="00CF3542" w:rsidRPr="00011F51" w:rsidRDefault="00CF3542" w:rsidP="00011F51">
            <w:pPr>
              <w:rPr>
                <w:rFonts w:asciiTheme="minorHAnsi" w:hAnsiTheme="minorHAnsi" w:cstheme="minorHAnsi"/>
                <w:b/>
                <w:bCs/>
                <w:color w:val="000000"/>
                <w:sz w:val="20"/>
              </w:rPr>
            </w:pPr>
            <w:r w:rsidRPr="00011F51">
              <w:rPr>
                <w:rFonts w:asciiTheme="minorHAnsi" w:hAnsiTheme="minorHAnsi" w:cstheme="minorHAnsi"/>
                <w:b/>
                <w:bCs/>
                <w:color w:val="000000"/>
                <w:sz w:val="20"/>
              </w:rPr>
              <w:t>PIANO DEI CONTI</w:t>
            </w:r>
          </w:p>
        </w:tc>
        <w:tc>
          <w:tcPr>
            <w:tcW w:w="796" w:type="pct"/>
            <w:shd w:val="clear" w:color="DDEBF7" w:fill="DDEBF7"/>
            <w:noWrap/>
            <w:hideMark/>
          </w:tcPr>
          <w:p w:rsidR="00CF3542" w:rsidRPr="00011F51" w:rsidRDefault="00CF3542" w:rsidP="00011F51">
            <w:pPr>
              <w:jc w:val="right"/>
              <w:rPr>
                <w:rFonts w:asciiTheme="minorHAnsi" w:hAnsiTheme="minorHAnsi" w:cstheme="minorHAnsi"/>
                <w:b/>
                <w:bCs/>
                <w:color w:val="000000"/>
                <w:sz w:val="20"/>
              </w:rPr>
            </w:pPr>
            <w:r w:rsidRPr="00011F51">
              <w:rPr>
                <w:rFonts w:asciiTheme="minorHAnsi" w:hAnsiTheme="minorHAnsi" w:cstheme="minorHAnsi"/>
                <w:b/>
                <w:bCs/>
                <w:color w:val="000000"/>
                <w:sz w:val="20"/>
              </w:rPr>
              <w:t xml:space="preserve"> 2018</w:t>
            </w:r>
          </w:p>
        </w:tc>
        <w:tc>
          <w:tcPr>
            <w:tcW w:w="821" w:type="pct"/>
            <w:shd w:val="clear" w:color="DDEBF7" w:fill="DDEBF7"/>
            <w:noWrap/>
            <w:hideMark/>
          </w:tcPr>
          <w:p w:rsidR="00CF3542" w:rsidRPr="00011F51" w:rsidRDefault="00CF3542" w:rsidP="00011F51">
            <w:pPr>
              <w:jc w:val="right"/>
              <w:rPr>
                <w:rFonts w:asciiTheme="minorHAnsi" w:hAnsiTheme="minorHAnsi" w:cstheme="minorHAnsi"/>
                <w:b/>
                <w:bCs/>
                <w:color w:val="000000"/>
                <w:sz w:val="20"/>
              </w:rPr>
            </w:pPr>
            <w:r w:rsidRPr="00011F51">
              <w:rPr>
                <w:rFonts w:asciiTheme="minorHAnsi" w:hAnsiTheme="minorHAnsi" w:cstheme="minorHAnsi"/>
                <w:b/>
                <w:bCs/>
                <w:color w:val="000000"/>
                <w:sz w:val="20"/>
              </w:rPr>
              <w:t xml:space="preserve"> 2017</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BII1.3 - Infrastrutture</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1.2.2.01.01.01.001 - Infrastrutture demaniali</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636.260,06</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636.260,06</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BII1.3 - Infrastrutture</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2.2.3.01.09.01.011 - Fondi ammortamento di Infrastrutture stradali</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-30.821,99</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-24.706,45</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BIII2.1 - Terreni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1.2.2.02.13.99.999 - Altri terreni n.a.c.</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17.044,82</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17.044,82</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BIII2.2 - Fabbricati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1.2.2.02.09.01.001 - Fabbricati ad uso abitativo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78.151,84</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0</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BIII2.2 - Fabbricati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1.2.2.02.09.19.001 - Fabbricati ad uso strumentale</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155.617,05</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155.617,05</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BIII2.2 - Fabbricati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2.2.3.01.09.01.001 - Fondo ammortamento di Fabbricati ad uso abitativo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-870,34</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0</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BIII2.2 - Fabbricati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2.2.3.01.09.01.003 - Fondi ammortamento di Fabbricati ad uso scolastico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-1.408,11</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0</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BIII2.2 - Fabbricati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2.2.3.01.09.01.018 - Fondi ammortamento fabbricati ad uso strumentale</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-5.923,93</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-5.923,93</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BIII2.4 - Attrezzature industriali e commerciali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1.2.2.02.05.99.999 - Attrezzature n.a.c.</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59.003,89</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58.101,09</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BIII2.4 - Attrezzature industriali e commerciali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2.2.3.01.05.01.999 - Fondo ammortamento attrezzature n.a.c.</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-1.770,12</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0</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BIII2.5 - Mezzi di trasporto</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1.2.2.02.01.01.001 - Mezzi di trasporto stradali</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83.905,75</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83.905,75</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BIII2.5 - Mezzi di trasporto</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2.2.3.01.01.01.001 - Fondo ammortamento mezzi di trasporto stradale</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-2.517,17</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0</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BIII2.6 - Macchine per ufficio e hardware</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1.2.2.02.07.02.001 - Postazioni di lavoro</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10.630,52</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10.630,52</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BIII3 - Immobilizzazioni in corso ed acconti</w:t>
            </w:r>
          </w:p>
        </w:tc>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1.2.2.04.02.01.001 - Immobilizzazioni materiali in costruzione</w:t>
            </w:r>
          </w:p>
        </w:tc>
        <w:tc>
          <w:tcPr>
            <w:tcW w:w="796"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346.342,66</w:t>
            </w:r>
          </w:p>
        </w:tc>
        <w:tc>
          <w:tcPr>
            <w:tcW w:w="821" w:type="pct"/>
            <w:tcBorders>
              <w:top w:val="single" w:sz="4" w:space="0" w:color="auto"/>
              <w:left w:val="single" w:sz="4" w:space="0" w:color="auto"/>
              <w:bottom w:val="single" w:sz="4" w:space="0" w:color="auto"/>
              <w:right w:val="single" w:sz="4" w:space="0" w:color="auto"/>
            </w:tcBorders>
            <w:shd w:val="clear" w:color="auto" w:fill="auto"/>
            <w:noWrap/>
            <w:hideMark/>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420.372,76</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BIV1c - altri soggetti</w:t>
            </w:r>
          </w:p>
        </w:tc>
        <w:tc>
          <w:tcPr>
            <w:tcW w:w="2518" w:type="pct"/>
            <w:tcBorders>
              <w:top w:val="single" w:sz="4" w:space="0" w:color="auto"/>
              <w:left w:val="single" w:sz="4" w:space="0" w:color="auto"/>
              <w:bottom w:val="single" w:sz="4" w:space="0" w:color="auto"/>
              <w:right w:val="single" w:sz="4" w:space="0" w:color="auto"/>
            </w:tcBorders>
            <w:shd w:val="clear" w:color="auto" w:fill="auto"/>
          </w:tcPr>
          <w:p w:rsidR="001567B7" w:rsidRPr="001567B7" w:rsidRDefault="001567B7" w:rsidP="001567B7">
            <w:pPr>
              <w:rPr>
                <w:rFonts w:asciiTheme="minorHAnsi" w:hAnsiTheme="minorHAnsi" w:cstheme="minorHAnsi"/>
                <w:bCs/>
                <w:color w:val="000000"/>
                <w:sz w:val="20"/>
              </w:rPr>
            </w:pPr>
            <w:r w:rsidRPr="001567B7">
              <w:rPr>
                <w:rFonts w:asciiTheme="minorHAnsi" w:hAnsiTheme="minorHAnsi" w:cstheme="minorHAnsi"/>
                <w:bCs/>
                <w:color w:val="000000"/>
                <w:sz w:val="20"/>
              </w:rPr>
              <w:t>1.2.3.01.09.01.001 - Partecipazioni in altre imprese non incluse in Amministrazioni pubbliche</w:t>
            </w:r>
          </w:p>
        </w:tc>
        <w:tc>
          <w:tcPr>
            <w:tcW w:w="796" w:type="pct"/>
            <w:tcBorders>
              <w:top w:val="single" w:sz="4" w:space="0" w:color="auto"/>
              <w:left w:val="single" w:sz="4" w:space="0" w:color="auto"/>
              <w:bottom w:val="single" w:sz="4" w:space="0" w:color="auto"/>
              <w:right w:val="single" w:sz="4" w:space="0" w:color="auto"/>
            </w:tcBorders>
            <w:shd w:val="clear" w:color="auto" w:fill="auto"/>
            <w:noWrap/>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9.921,77</w:t>
            </w:r>
          </w:p>
        </w:tc>
        <w:tc>
          <w:tcPr>
            <w:tcW w:w="821" w:type="pct"/>
            <w:tcBorders>
              <w:top w:val="single" w:sz="4" w:space="0" w:color="auto"/>
              <w:left w:val="single" w:sz="4" w:space="0" w:color="auto"/>
              <w:bottom w:val="single" w:sz="4" w:space="0" w:color="auto"/>
              <w:right w:val="single" w:sz="4" w:space="0" w:color="auto"/>
            </w:tcBorders>
            <w:shd w:val="clear" w:color="auto" w:fill="auto"/>
            <w:noWrap/>
          </w:tcPr>
          <w:p w:rsidR="001567B7" w:rsidRPr="001567B7" w:rsidRDefault="001567B7" w:rsidP="001567B7">
            <w:pPr>
              <w:jc w:val="right"/>
              <w:rPr>
                <w:rFonts w:asciiTheme="minorHAnsi" w:hAnsiTheme="minorHAnsi" w:cstheme="minorHAnsi"/>
                <w:bCs/>
                <w:color w:val="000000"/>
                <w:sz w:val="20"/>
              </w:rPr>
            </w:pPr>
            <w:r w:rsidRPr="001567B7">
              <w:rPr>
                <w:rFonts w:asciiTheme="minorHAnsi" w:hAnsiTheme="minorHAnsi" w:cstheme="minorHAnsi"/>
                <w:bCs/>
                <w:color w:val="000000"/>
                <w:sz w:val="20"/>
              </w:rPr>
              <w:t>9.921,77</w:t>
            </w:r>
          </w:p>
        </w:tc>
      </w:tr>
      <w:tr w:rsidR="001567B7" w:rsidRPr="001567B7" w:rsidTr="001567B7">
        <w:trPr>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tcPr>
          <w:p w:rsidR="001567B7" w:rsidRPr="001567B7" w:rsidRDefault="001567B7" w:rsidP="001567B7">
            <w:pPr>
              <w:rPr>
                <w:rFonts w:asciiTheme="minorHAnsi" w:hAnsiTheme="minorHAnsi" w:cstheme="minorHAnsi"/>
                <w:b/>
                <w:bCs/>
                <w:color w:val="000000"/>
                <w:sz w:val="20"/>
              </w:rPr>
            </w:pPr>
          </w:p>
        </w:tc>
        <w:tc>
          <w:tcPr>
            <w:tcW w:w="2518" w:type="pct"/>
            <w:tcBorders>
              <w:top w:val="single" w:sz="4" w:space="0" w:color="auto"/>
              <w:left w:val="single" w:sz="4" w:space="0" w:color="auto"/>
              <w:bottom w:val="single" w:sz="4" w:space="0" w:color="auto"/>
              <w:right w:val="single" w:sz="4" w:space="0" w:color="auto"/>
            </w:tcBorders>
            <w:shd w:val="clear" w:color="auto" w:fill="auto"/>
          </w:tcPr>
          <w:p w:rsidR="001567B7" w:rsidRPr="001567B7" w:rsidRDefault="001567B7" w:rsidP="001567B7">
            <w:pPr>
              <w:rPr>
                <w:rFonts w:asciiTheme="minorHAnsi" w:hAnsiTheme="minorHAnsi" w:cstheme="minorHAnsi"/>
                <w:b/>
                <w:bCs/>
                <w:color w:val="000000"/>
                <w:sz w:val="20"/>
              </w:rPr>
            </w:pPr>
            <w:r w:rsidRPr="001567B7">
              <w:rPr>
                <w:rFonts w:asciiTheme="minorHAnsi" w:hAnsiTheme="minorHAnsi" w:cstheme="minorHAnsi"/>
                <w:b/>
                <w:bCs/>
                <w:color w:val="000000"/>
                <w:sz w:val="20"/>
              </w:rPr>
              <w:t xml:space="preserve">TOTALI IMMOBILIZZAZIONI </w:t>
            </w:r>
          </w:p>
        </w:tc>
        <w:tc>
          <w:tcPr>
            <w:tcW w:w="796" w:type="pct"/>
            <w:tcBorders>
              <w:top w:val="single" w:sz="4" w:space="0" w:color="auto"/>
              <w:left w:val="single" w:sz="4" w:space="0" w:color="auto"/>
              <w:bottom w:val="single" w:sz="4" w:space="0" w:color="auto"/>
              <w:right w:val="single" w:sz="4" w:space="0" w:color="auto"/>
            </w:tcBorders>
            <w:shd w:val="clear" w:color="auto" w:fill="auto"/>
            <w:noWrap/>
          </w:tcPr>
          <w:p w:rsidR="001567B7" w:rsidRPr="001567B7" w:rsidRDefault="001567B7" w:rsidP="001567B7">
            <w:pPr>
              <w:jc w:val="right"/>
              <w:rPr>
                <w:rFonts w:asciiTheme="minorHAnsi" w:hAnsiTheme="minorHAnsi" w:cstheme="minorHAnsi"/>
                <w:b/>
                <w:bCs/>
                <w:color w:val="000000"/>
                <w:sz w:val="20"/>
              </w:rPr>
            </w:pPr>
            <w:r w:rsidRPr="00FF2A1F">
              <w:rPr>
                <w:rFonts w:asciiTheme="minorHAnsi" w:hAnsiTheme="minorHAnsi" w:cstheme="minorHAnsi"/>
                <w:b/>
                <w:bCs/>
                <w:color w:val="000000"/>
                <w:sz w:val="20"/>
              </w:rPr>
              <w:t>1.353.566,70</w:t>
            </w:r>
          </w:p>
        </w:tc>
        <w:tc>
          <w:tcPr>
            <w:tcW w:w="821" w:type="pct"/>
            <w:tcBorders>
              <w:top w:val="single" w:sz="4" w:space="0" w:color="auto"/>
              <w:left w:val="single" w:sz="4" w:space="0" w:color="auto"/>
              <w:bottom w:val="single" w:sz="4" w:space="0" w:color="auto"/>
              <w:right w:val="single" w:sz="4" w:space="0" w:color="auto"/>
            </w:tcBorders>
            <w:shd w:val="clear" w:color="auto" w:fill="auto"/>
            <w:noWrap/>
          </w:tcPr>
          <w:p w:rsidR="001567B7" w:rsidRPr="001567B7" w:rsidRDefault="001567B7" w:rsidP="001567B7">
            <w:pPr>
              <w:jc w:val="right"/>
              <w:rPr>
                <w:rFonts w:asciiTheme="minorHAnsi" w:hAnsiTheme="minorHAnsi" w:cstheme="minorHAnsi"/>
                <w:b/>
                <w:bCs/>
                <w:color w:val="000000"/>
                <w:sz w:val="20"/>
              </w:rPr>
            </w:pPr>
            <w:r w:rsidRPr="001567B7">
              <w:rPr>
                <w:rFonts w:asciiTheme="minorHAnsi" w:hAnsiTheme="minorHAnsi" w:cstheme="minorHAnsi"/>
                <w:b/>
                <w:bCs/>
                <w:color w:val="000000"/>
                <w:sz w:val="20"/>
              </w:rPr>
              <w:t>1.361.223,44</w:t>
            </w:r>
          </w:p>
        </w:tc>
      </w:tr>
    </w:tbl>
    <w:p w:rsidR="00CF3542" w:rsidRPr="00C316B0" w:rsidRDefault="00CF3542" w:rsidP="00FD1C8A">
      <w:pPr>
        <w:jc w:val="both"/>
        <w:rPr>
          <w:rFonts w:asciiTheme="minorHAnsi" w:hAnsiTheme="minorHAnsi" w:cstheme="minorHAnsi"/>
        </w:rPr>
      </w:pPr>
    </w:p>
    <w:p w:rsidR="00CF3542" w:rsidRPr="00C316B0" w:rsidRDefault="00CF3542" w:rsidP="00FD1C8A">
      <w:pPr>
        <w:jc w:val="both"/>
        <w:rPr>
          <w:rFonts w:asciiTheme="minorHAnsi" w:hAnsiTheme="minorHAnsi" w:cstheme="minorHAnsi"/>
        </w:rPr>
      </w:pPr>
    </w:p>
    <w:p w:rsidR="00CF3542" w:rsidRDefault="00CF3542" w:rsidP="00FD1C8A">
      <w:pPr>
        <w:spacing w:after="160" w:line="259" w:lineRule="auto"/>
        <w:jc w:val="both"/>
        <w:rPr>
          <w:rFonts w:asciiTheme="minorHAnsi" w:hAnsiTheme="minorHAnsi" w:cstheme="minorHAnsi"/>
          <w:b/>
        </w:rPr>
      </w:pPr>
    </w:p>
    <w:p w:rsidR="00B36315" w:rsidRDefault="00B36315" w:rsidP="00FD1C8A">
      <w:pPr>
        <w:spacing w:after="160" w:line="259" w:lineRule="auto"/>
        <w:jc w:val="both"/>
        <w:rPr>
          <w:rFonts w:asciiTheme="minorHAnsi" w:hAnsiTheme="minorHAnsi" w:cstheme="minorHAnsi"/>
          <w:b/>
        </w:rPr>
      </w:pPr>
    </w:p>
    <w:p w:rsidR="00B36315" w:rsidRDefault="00B36315" w:rsidP="00FD1C8A">
      <w:pPr>
        <w:spacing w:after="160" w:line="259" w:lineRule="auto"/>
        <w:jc w:val="both"/>
        <w:rPr>
          <w:rFonts w:asciiTheme="minorHAnsi" w:hAnsiTheme="minorHAnsi" w:cstheme="minorHAnsi"/>
          <w:b/>
        </w:rPr>
      </w:pPr>
    </w:p>
    <w:p w:rsidR="00B36315" w:rsidRDefault="00B36315" w:rsidP="00FD1C8A">
      <w:pPr>
        <w:spacing w:after="160" w:line="259" w:lineRule="auto"/>
        <w:jc w:val="both"/>
        <w:rPr>
          <w:rFonts w:asciiTheme="minorHAnsi" w:hAnsiTheme="minorHAnsi" w:cstheme="minorHAnsi"/>
          <w:b/>
        </w:rPr>
      </w:pPr>
    </w:p>
    <w:p w:rsidR="009062EE" w:rsidRPr="00C316B0" w:rsidRDefault="009062EE" w:rsidP="00FD1C8A">
      <w:pPr>
        <w:spacing w:after="160" w:line="259" w:lineRule="auto"/>
        <w:jc w:val="both"/>
        <w:rPr>
          <w:rFonts w:asciiTheme="minorHAnsi" w:hAnsiTheme="minorHAnsi" w:cstheme="minorHAnsi"/>
          <w:b/>
        </w:rPr>
      </w:pP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lastRenderedPageBreak/>
        <w:t>I CREDITI</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 crediti sono stati iscritti al valore di presumibile realizzo, rettificando il valore nominale del credito dell’accantonamento al Fondo Svalutazione Crediti, come dettagliatamente rappresentato nella seguente tabella:</w:t>
      </w:r>
    </w:p>
    <w:p w:rsidR="00BD174C" w:rsidRPr="00C316B0" w:rsidRDefault="00BD174C" w:rsidP="00FD1C8A">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4"/>
        <w:gridCol w:w="5032"/>
        <w:gridCol w:w="1406"/>
        <w:gridCol w:w="1496"/>
      </w:tblGrid>
      <w:tr w:rsidR="00CF3542" w:rsidRPr="00E92DA8" w:rsidTr="009062EE">
        <w:trPr>
          <w:trHeight w:val="255"/>
        </w:trPr>
        <w:tc>
          <w:tcPr>
            <w:tcW w:w="943" w:type="pct"/>
            <w:shd w:val="clear" w:color="DDEBF7" w:fill="DDEBF7"/>
            <w:hideMark/>
          </w:tcPr>
          <w:p w:rsidR="00CF3542" w:rsidRPr="00E92DA8" w:rsidRDefault="00CF3542" w:rsidP="00E92DA8">
            <w:pPr>
              <w:rPr>
                <w:rFonts w:asciiTheme="minorHAnsi" w:hAnsiTheme="minorHAnsi" w:cstheme="minorHAnsi"/>
                <w:b/>
                <w:bCs/>
                <w:color w:val="000000"/>
                <w:sz w:val="20"/>
              </w:rPr>
            </w:pPr>
            <w:r w:rsidRPr="00E92DA8">
              <w:rPr>
                <w:rFonts w:asciiTheme="minorHAnsi" w:hAnsiTheme="minorHAnsi" w:cstheme="minorHAnsi"/>
                <w:b/>
                <w:bCs/>
                <w:color w:val="000000"/>
                <w:sz w:val="20"/>
              </w:rPr>
              <w:t>RIF_PROSPETTO</w:t>
            </w:r>
          </w:p>
        </w:tc>
        <w:tc>
          <w:tcPr>
            <w:tcW w:w="2573" w:type="pct"/>
            <w:shd w:val="clear" w:color="DDEBF7" w:fill="DDEBF7"/>
            <w:hideMark/>
          </w:tcPr>
          <w:p w:rsidR="00CF3542" w:rsidRPr="00E92DA8" w:rsidRDefault="00CF3542" w:rsidP="00E92DA8">
            <w:pPr>
              <w:rPr>
                <w:rFonts w:asciiTheme="minorHAnsi" w:hAnsiTheme="minorHAnsi" w:cstheme="minorHAnsi"/>
                <w:b/>
                <w:bCs/>
                <w:color w:val="000000"/>
                <w:sz w:val="20"/>
              </w:rPr>
            </w:pPr>
            <w:r w:rsidRPr="00E92DA8">
              <w:rPr>
                <w:rFonts w:asciiTheme="minorHAnsi" w:hAnsiTheme="minorHAnsi" w:cstheme="minorHAnsi"/>
                <w:b/>
                <w:bCs/>
                <w:color w:val="000000"/>
                <w:sz w:val="20"/>
              </w:rPr>
              <w:t>PIANO DEI CONTI</w:t>
            </w:r>
          </w:p>
        </w:tc>
        <w:tc>
          <w:tcPr>
            <w:tcW w:w="719" w:type="pct"/>
            <w:shd w:val="clear" w:color="DDEBF7" w:fill="DDEBF7"/>
            <w:noWrap/>
            <w:hideMark/>
          </w:tcPr>
          <w:p w:rsidR="00CF3542" w:rsidRPr="00E92DA8" w:rsidRDefault="00CF3542" w:rsidP="00E92DA8">
            <w:pPr>
              <w:jc w:val="right"/>
              <w:rPr>
                <w:rFonts w:asciiTheme="minorHAnsi" w:hAnsiTheme="minorHAnsi" w:cstheme="minorHAnsi"/>
                <w:b/>
                <w:bCs/>
                <w:color w:val="000000"/>
                <w:sz w:val="20"/>
              </w:rPr>
            </w:pPr>
            <w:r w:rsidRPr="00E92DA8">
              <w:rPr>
                <w:rFonts w:asciiTheme="minorHAnsi" w:hAnsiTheme="minorHAnsi" w:cstheme="minorHAnsi"/>
                <w:b/>
                <w:bCs/>
                <w:color w:val="000000"/>
                <w:sz w:val="20"/>
              </w:rPr>
              <w:t>2018</w:t>
            </w:r>
          </w:p>
        </w:tc>
        <w:tc>
          <w:tcPr>
            <w:tcW w:w="765" w:type="pct"/>
            <w:shd w:val="clear" w:color="DDEBF7" w:fill="DDEBF7"/>
            <w:noWrap/>
            <w:hideMark/>
          </w:tcPr>
          <w:p w:rsidR="00CF3542" w:rsidRPr="00E92DA8" w:rsidRDefault="00CF3542" w:rsidP="00E92DA8">
            <w:pPr>
              <w:jc w:val="right"/>
              <w:rPr>
                <w:rFonts w:asciiTheme="minorHAnsi" w:hAnsiTheme="minorHAnsi" w:cstheme="minorHAnsi"/>
                <w:b/>
                <w:bCs/>
                <w:color w:val="000000"/>
                <w:sz w:val="20"/>
              </w:rPr>
            </w:pPr>
            <w:r w:rsidRPr="00E92DA8">
              <w:rPr>
                <w:rFonts w:asciiTheme="minorHAnsi" w:hAnsiTheme="minorHAnsi" w:cstheme="minorHAnsi"/>
                <w:b/>
                <w:bCs/>
                <w:color w:val="000000"/>
                <w:sz w:val="20"/>
              </w:rPr>
              <w:t>2017</w:t>
            </w:r>
          </w:p>
        </w:tc>
      </w:tr>
      <w:tr w:rsidR="00E715C1" w:rsidRPr="00E715C1" w:rsidTr="009062EE">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92DA8">
            <w:pPr>
              <w:rPr>
                <w:rFonts w:asciiTheme="minorHAnsi" w:hAnsiTheme="minorHAnsi" w:cstheme="minorHAnsi"/>
                <w:bCs/>
                <w:color w:val="000000"/>
                <w:sz w:val="20"/>
              </w:rPr>
            </w:pP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92DA8">
            <w:pPr>
              <w:rPr>
                <w:rFonts w:asciiTheme="minorHAnsi" w:hAnsiTheme="minorHAnsi" w:cstheme="minorHAnsi"/>
                <w:bCs/>
                <w:color w:val="000000"/>
                <w:sz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92DA8">
            <w:pPr>
              <w:jc w:val="right"/>
              <w:rPr>
                <w:rFonts w:asciiTheme="minorHAnsi" w:hAnsiTheme="minorHAnsi" w:cstheme="minorHAnsi"/>
                <w:bCs/>
                <w:color w:val="000000"/>
                <w:sz w:val="20"/>
              </w:rPr>
            </w:pP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92DA8">
            <w:pPr>
              <w:jc w:val="right"/>
              <w:rPr>
                <w:rFonts w:asciiTheme="minorHAnsi" w:hAnsiTheme="minorHAnsi" w:cstheme="minorHAnsi"/>
                <w:bCs/>
                <w:color w:val="000000"/>
                <w:sz w:val="20"/>
              </w:rPr>
            </w:pP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1.3.2.01.01.01.006 - Crediti da riscossione Imposta municipale propria</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7.489,75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21.064,84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1.3.2.01.01.01.051 - Crediti da riscossione Tassa smaltimento rifiuti solidi urbani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4.275,33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1.3.2.01.01.01.052 - Crediti da riscossione Tassa occupazione spazi e aree pubbliche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39,55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1.3.2.01.01.01.053 - Crediti da riscossione I</w:t>
            </w:r>
            <w:r>
              <w:rPr>
                <w:rFonts w:asciiTheme="minorHAnsi" w:hAnsiTheme="minorHAnsi" w:cstheme="minorHAnsi"/>
                <w:bCs/>
                <w:color w:val="000000"/>
                <w:sz w:val="20"/>
              </w:rPr>
              <w:t>mposta comunale sulla pubblicità</w:t>
            </w:r>
            <w:r w:rsidRPr="00E715C1">
              <w:rPr>
                <w:rFonts w:asciiTheme="minorHAnsi" w:hAnsiTheme="minorHAnsi" w:cstheme="minorHAnsi"/>
                <w:bCs/>
                <w:color w:val="000000"/>
                <w:sz w:val="20"/>
              </w:rPr>
              <w:t xml:space="preserve"> e diritto sulle pubbliche affissioni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161,50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132,50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1.3.2.01.01.01.061 - Crediti da riscossione Tributo comunale sui rifiuti e sui servizi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23.299,14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23.224,27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1.3.2.01.01.01.076 - Crediti da riscossione Tassa sui servizi comunali Tributo per i servizi indivisibili (TASI)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1.3.2.01.01.01.095 - Crediti da riscossione Altre ritenute n.a.c.</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1.428,22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1.3.2.01.01.05.001 - Crediti da riscossione di imposte di natura corrente per conto di terzi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25.197,36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1.3.2.01.05.01.006 - Crediti da riscossione Compartecipazione IRPEF ai Comuni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4,19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1.499,30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CII1b - Altri crediti da tributi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2.2.4.01.01.01.103 - Fondo svalutazione crediti - Tares</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18.094,71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7F7944" w:rsidP="00E715C1">
            <w:pPr>
              <w:jc w:val="right"/>
              <w:rPr>
                <w:rFonts w:asciiTheme="minorHAnsi" w:hAnsiTheme="minorHAnsi" w:cstheme="minorHAnsi"/>
                <w:bCs/>
                <w:color w:val="000000"/>
                <w:sz w:val="20"/>
              </w:rPr>
            </w:pPr>
            <w:r>
              <w:rPr>
                <w:rFonts w:asciiTheme="minorHAnsi" w:hAnsiTheme="minorHAnsi" w:cstheme="minorHAnsi"/>
                <w:bCs/>
                <w:color w:val="000000"/>
                <w:sz w:val="20"/>
              </w:rPr>
              <w:t>-</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CII1c - Crediti da Fondi perequativi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1.3.2.01.04.01.001 - Crediti da riscossione Fondi perequativi dallo Stato</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1.027,97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4.025,10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CII2a - verso amministrazioni pubbliche</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1.3.2.03.01.01.001 - Crediti per Trasferimenti correnti da Ministeri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CII2a - verso amministrazioni pubbliche</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1.3.2.03.01.02.001 - Crediti per Trasferimenti correnti da Regioni e province autonome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29.094,66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68.960,41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CII2a - verso amministrazioni pubbliche</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1.3.2.04.01.02.001 - Crediti da Contributi agli investimenti da Regioni e province autonome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25.687,39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91.166,52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CII2a - verso amministrazioni pubbliche</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1.3.2.04.01.02.002 - Crediti da Contributi agli investimenti da Province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8.519,32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CII2d - verso altri soggetti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1.3.2.03.04.03.999 - Crediti per Altri trasferimenti correnti da altre imprese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0,08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0,08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CII3 - Verso clienti ed utenti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1.3.2.02.01.02.001 - Crediti derivanti dalla vendita di servizi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5D4A49" w:rsidRDefault="005D4A49" w:rsidP="005D4A49">
            <w:pPr>
              <w:jc w:val="right"/>
              <w:rPr>
                <w:rFonts w:asciiTheme="minorHAnsi" w:hAnsiTheme="minorHAnsi" w:cstheme="minorHAnsi"/>
                <w:bCs/>
                <w:color w:val="000000"/>
                <w:sz w:val="20"/>
              </w:rPr>
            </w:pPr>
            <w:r>
              <w:rPr>
                <w:rFonts w:asciiTheme="minorHAnsi" w:hAnsiTheme="minorHAnsi" w:cstheme="minorHAnsi"/>
                <w:bCs/>
                <w:color w:val="000000"/>
                <w:sz w:val="20"/>
              </w:rPr>
              <w:t xml:space="preserve">         </w:t>
            </w:r>
            <w:r w:rsidRPr="005D4A49">
              <w:rPr>
                <w:rFonts w:asciiTheme="minorHAnsi" w:hAnsiTheme="minorHAnsi" w:cstheme="minorHAnsi"/>
                <w:bCs/>
                <w:color w:val="000000"/>
                <w:sz w:val="20"/>
              </w:rPr>
              <w:t>21.</w:t>
            </w:r>
            <w:r w:rsidR="002D362E">
              <w:rPr>
                <w:rFonts w:asciiTheme="minorHAnsi" w:hAnsiTheme="minorHAnsi" w:cstheme="minorHAnsi"/>
                <w:bCs/>
                <w:color w:val="000000"/>
                <w:sz w:val="20"/>
              </w:rPr>
              <w:t>142,26</w:t>
            </w:r>
            <w:r w:rsidRPr="005D4A49">
              <w:rPr>
                <w:rFonts w:asciiTheme="minorHAnsi" w:hAnsiTheme="minorHAnsi" w:cstheme="minorHAnsi"/>
                <w:bCs/>
                <w:color w:val="000000"/>
                <w:sz w:val="20"/>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15.345,73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CII3 - Verso clienti ed utenti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1.3.2.02.02.01.001 - Crediti da fitti, noleggi e locazioni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4.300,00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CII3 - Verso clienti ed utenti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1.3.2.02.05.01.001 - Crediti verso Amministr</w:t>
            </w:r>
            <w:r>
              <w:rPr>
                <w:rFonts w:asciiTheme="minorHAnsi" w:hAnsiTheme="minorHAnsi" w:cstheme="minorHAnsi"/>
                <w:bCs/>
                <w:color w:val="000000"/>
                <w:sz w:val="20"/>
              </w:rPr>
              <w:t>azioni pubbliche derivanti dall’</w:t>
            </w:r>
            <w:r w:rsidRPr="00E715C1">
              <w:rPr>
                <w:rFonts w:asciiTheme="minorHAnsi" w:hAnsiTheme="minorHAnsi" w:cstheme="minorHAnsi"/>
                <w:bCs/>
                <w:color w:val="000000"/>
                <w:sz w:val="20"/>
              </w:rPr>
              <w:t>attivit</w:t>
            </w:r>
            <w:r>
              <w:rPr>
                <w:rFonts w:asciiTheme="minorHAnsi" w:hAnsiTheme="minorHAnsi" w:cstheme="minorHAnsi"/>
                <w:bCs/>
                <w:color w:val="000000"/>
                <w:sz w:val="20"/>
              </w:rPr>
              <w:t>à</w:t>
            </w:r>
            <w:r w:rsidRPr="00E715C1">
              <w:rPr>
                <w:rFonts w:asciiTheme="minorHAnsi" w:hAnsiTheme="minorHAnsi" w:cstheme="minorHAnsi"/>
                <w:bCs/>
                <w:color w:val="000000"/>
                <w:sz w:val="20"/>
              </w:rPr>
              <w:t xml:space="preserve"> di controllo e repressione delle </w:t>
            </w:r>
            <w:r>
              <w:rPr>
                <w:rFonts w:asciiTheme="minorHAnsi" w:hAnsiTheme="minorHAnsi" w:cstheme="minorHAnsi"/>
                <w:bCs/>
                <w:color w:val="000000"/>
                <w:sz w:val="20"/>
              </w:rPr>
              <w:t>irregolarità</w:t>
            </w:r>
            <w:r w:rsidRPr="00E715C1">
              <w:rPr>
                <w:rFonts w:asciiTheme="minorHAnsi" w:hAnsiTheme="minorHAnsi" w:cstheme="minorHAnsi"/>
                <w:bCs/>
                <w:color w:val="000000"/>
                <w:sz w:val="20"/>
              </w:rPr>
              <w:t xml:space="preserve"> e degli illeciti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CII3 - Verso clienti ed utenti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2.2.4.01.01.01.105 - Fondo svalutazione crediti - vendita di servizi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w:t>
            </w:r>
            <w:r w:rsidR="00375293">
              <w:rPr>
                <w:rFonts w:asciiTheme="minorHAnsi" w:hAnsiTheme="minorHAnsi" w:cstheme="minorHAnsi"/>
                <w:bCs/>
                <w:color w:val="000000"/>
                <w:sz w:val="20"/>
              </w:rPr>
              <w:t>19.492,81</w:t>
            </w:r>
            <w:r w:rsidRPr="00E715C1">
              <w:rPr>
                <w:rFonts w:asciiTheme="minorHAnsi" w:hAnsiTheme="minorHAnsi" w:cstheme="minorHAnsi"/>
                <w:bCs/>
                <w:color w:val="000000"/>
                <w:sz w:val="20"/>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7F7944">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w:t>
            </w:r>
            <w:bookmarkStart w:id="3" w:name="_GoBack"/>
            <w:bookmarkEnd w:id="3"/>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CII4a - verso l'erario</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1.3.2.01.01.03.002 - IVA a credito</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28.321,56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CII4a - verso l'erario</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1.3.2.08.01.01.001 - Crediti verso l erario</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 xml:space="preserve">CII4b - per attività </w:t>
            </w:r>
            <w:r w:rsidRPr="00E715C1">
              <w:rPr>
                <w:rFonts w:asciiTheme="minorHAnsi" w:hAnsiTheme="minorHAnsi" w:cstheme="minorHAnsi"/>
                <w:bCs/>
                <w:color w:val="000000"/>
                <w:sz w:val="20"/>
              </w:rPr>
              <w:lastRenderedPageBreak/>
              <w:t>svolta per c/terzi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lastRenderedPageBreak/>
              <w:t xml:space="preserve">1.3.2.06.01.02.001 - Crediti da Trasferimenti da Regioni e </w:t>
            </w:r>
            <w:r w:rsidRPr="00E715C1">
              <w:rPr>
                <w:rFonts w:asciiTheme="minorHAnsi" w:hAnsiTheme="minorHAnsi" w:cstheme="minorHAnsi"/>
                <w:bCs/>
                <w:color w:val="000000"/>
                <w:sz w:val="20"/>
              </w:rPr>
              <w:lastRenderedPageBreak/>
              <w:t>province autonome per operazioni conto terzi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lastRenderedPageBreak/>
              <w:t xml:space="preserve">              671,49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17.144,10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lastRenderedPageBreak/>
              <w:t>CII4b - per attività svolta per c/terzi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1.3.2.06.01.02.999 - Crediti da Trasferimenti da altre Amministrazioni Locali n.a.c. per operazioni conto terzi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1.3.2.07.03.03.001 - Interessi attivi da depositi bancari o postali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1.3.2.08.04.06.002 - Crediti da rimborsi, recuperi e restituzioni di somme non dovute o incassate in eccesso da Amministrazioni Locali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1.3.2.08.04.06.005 - Crediti da rimborsi, recuperi e restituzioni di somme non dovute o incassate in eccesso da Imprese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1,54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1.3.2.08.04.06.008 - Crediti da rimborsi, recuperi e restituzioni di somme non dovute o incassate in eccesso da UE e Resto del Mondo</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40,24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1.3.2.08.04.10.001 - Crediti da permessi di costruire</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1.3.2.08.04.11.001 - Depositi cauzionali presso terzi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45,00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45,00 </w:t>
            </w:r>
          </w:p>
        </w:tc>
      </w:tr>
      <w:tr w:rsidR="00E715C1" w:rsidRPr="00E715C1" w:rsidTr="00E715C1">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CII4c - altri</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715C1" w:rsidRPr="00E715C1" w:rsidRDefault="00E715C1" w:rsidP="00E715C1">
            <w:pPr>
              <w:rPr>
                <w:rFonts w:asciiTheme="minorHAnsi" w:hAnsiTheme="minorHAnsi" w:cstheme="minorHAnsi"/>
                <w:bCs/>
                <w:color w:val="000000"/>
                <w:sz w:val="20"/>
              </w:rPr>
            </w:pPr>
            <w:r w:rsidRPr="00E715C1">
              <w:rPr>
                <w:rFonts w:asciiTheme="minorHAnsi" w:hAnsiTheme="minorHAnsi" w:cstheme="minorHAnsi"/>
                <w:bCs/>
                <w:color w:val="000000"/>
                <w:sz w:val="20"/>
              </w:rPr>
              <w:t>1.3.2.08.04.99.001 - Crediti diversi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   </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715C1" w:rsidRPr="00E715C1" w:rsidRDefault="00E715C1" w:rsidP="00E715C1">
            <w:pPr>
              <w:jc w:val="right"/>
              <w:rPr>
                <w:rFonts w:asciiTheme="minorHAnsi" w:hAnsiTheme="minorHAnsi" w:cstheme="minorHAnsi"/>
                <w:bCs/>
                <w:color w:val="000000"/>
                <w:sz w:val="20"/>
              </w:rPr>
            </w:pPr>
            <w:r w:rsidRPr="00E715C1">
              <w:rPr>
                <w:rFonts w:asciiTheme="minorHAnsi" w:hAnsiTheme="minorHAnsi" w:cstheme="minorHAnsi"/>
                <w:bCs/>
                <w:color w:val="000000"/>
                <w:sz w:val="20"/>
              </w:rPr>
              <w:t xml:space="preserve">            3.654,36 </w:t>
            </w:r>
          </w:p>
        </w:tc>
      </w:tr>
      <w:tr w:rsidR="00E92DA8" w:rsidRPr="009062EE" w:rsidTr="009062EE">
        <w:trPr>
          <w:trHeight w:val="255"/>
        </w:trPr>
        <w:tc>
          <w:tcPr>
            <w:tcW w:w="943" w:type="pct"/>
            <w:tcBorders>
              <w:top w:val="single" w:sz="4" w:space="0" w:color="auto"/>
              <w:left w:val="single" w:sz="4" w:space="0" w:color="auto"/>
              <w:bottom w:val="single" w:sz="4" w:space="0" w:color="auto"/>
              <w:right w:val="single" w:sz="4" w:space="0" w:color="auto"/>
            </w:tcBorders>
            <w:shd w:val="clear" w:color="auto" w:fill="auto"/>
          </w:tcPr>
          <w:p w:rsidR="00E92DA8" w:rsidRPr="009062EE" w:rsidRDefault="00E92DA8" w:rsidP="00E92DA8">
            <w:pPr>
              <w:rPr>
                <w:rFonts w:asciiTheme="minorHAnsi" w:hAnsiTheme="minorHAnsi" w:cstheme="minorHAnsi"/>
                <w:b/>
                <w:bCs/>
                <w:color w:val="000000"/>
                <w:sz w:val="20"/>
              </w:rPr>
            </w:pP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E92DA8" w:rsidRPr="009062EE" w:rsidRDefault="00E92DA8" w:rsidP="00E92DA8">
            <w:pPr>
              <w:rPr>
                <w:rFonts w:asciiTheme="minorHAnsi" w:hAnsiTheme="minorHAnsi" w:cstheme="minorHAnsi"/>
                <w:b/>
                <w:bCs/>
                <w:color w:val="000000"/>
                <w:sz w:val="20"/>
              </w:rPr>
            </w:pPr>
            <w:r w:rsidRPr="009062EE">
              <w:rPr>
                <w:rFonts w:asciiTheme="minorHAnsi" w:hAnsiTheme="minorHAnsi" w:cstheme="minorHAnsi"/>
                <w:b/>
                <w:bCs/>
                <w:color w:val="000000"/>
                <w:sz w:val="20"/>
              </w:rPr>
              <w:t>TOTALE CREDITI</w:t>
            </w:r>
          </w:p>
        </w:tc>
        <w:tc>
          <w:tcPr>
            <w:tcW w:w="719" w:type="pct"/>
            <w:tcBorders>
              <w:top w:val="single" w:sz="4" w:space="0" w:color="auto"/>
              <w:left w:val="single" w:sz="4" w:space="0" w:color="auto"/>
              <w:bottom w:val="single" w:sz="4" w:space="0" w:color="auto"/>
              <w:right w:val="single" w:sz="4" w:space="0" w:color="auto"/>
            </w:tcBorders>
            <w:shd w:val="clear" w:color="auto" w:fill="auto"/>
            <w:noWrap/>
          </w:tcPr>
          <w:p w:rsidR="00E92DA8" w:rsidRPr="009062EE" w:rsidRDefault="00375293" w:rsidP="00E92DA8">
            <w:pPr>
              <w:jc w:val="right"/>
              <w:rPr>
                <w:rFonts w:asciiTheme="minorHAnsi" w:hAnsiTheme="minorHAnsi" w:cstheme="minorHAnsi"/>
                <w:b/>
                <w:bCs/>
                <w:color w:val="000000"/>
                <w:sz w:val="20"/>
              </w:rPr>
            </w:pPr>
            <w:r>
              <w:rPr>
                <w:rFonts w:asciiTheme="minorHAnsi" w:hAnsiTheme="minorHAnsi" w:cstheme="minorHAnsi"/>
                <w:b/>
                <w:bCs/>
                <w:color w:val="000000"/>
                <w:sz w:val="20"/>
              </w:rPr>
              <w:t>126.022,81</w:t>
            </w:r>
          </w:p>
        </w:tc>
        <w:tc>
          <w:tcPr>
            <w:tcW w:w="765" w:type="pct"/>
            <w:tcBorders>
              <w:top w:val="single" w:sz="4" w:space="0" w:color="auto"/>
              <w:left w:val="single" w:sz="4" w:space="0" w:color="auto"/>
              <w:bottom w:val="single" w:sz="4" w:space="0" w:color="auto"/>
              <w:right w:val="single" w:sz="4" w:space="0" w:color="auto"/>
            </w:tcBorders>
            <w:shd w:val="clear" w:color="auto" w:fill="auto"/>
            <w:noWrap/>
          </w:tcPr>
          <w:p w:rsidR="00E92DA8" w:rsidRPr="009062EE" w:rsidRDefault="009062EE" w:rsidP="00E92DA8">
            <w:pPr>
              <w:jc w:val="right"/>
              <w:rPr>
                <w:rFonts w:asciiTheme="minorHAnsi" w:hAnsiTheme="minorHAnsi" w:cstheme="minorHAnsi"/>
                <w:b/>
                <w:bCs/>
                <w:color w:val="000000"/>
                <w:sz w:val="20"/>
              </w:rPr>
            </w:pPr>
            <w:r w:rsidRPr="009062EE">
              <w:rPr>
                <w:rFonts w:asciiTheme="minorHAnsi" w:hAnsiTheme="minorHAnsi" w:cstheme="minorHAnsi"/>
                <w:b/>
                <w:bCs/>
                <w:color w:val="000000"/>
                <w:sz w:val="20"/>
              </w:rPr>
              <w:t>263.398,64</w:t>
            </w:r>
          </w:p>
        </w:tc>
      </w:tr>
    </w:tbl>
    <w:p w:rsidR="00CF3542" w:rsidRPr="00C316B0" w:rsidRDefault="00CF3542" w:rsidP="00FD1C8A">
      <w:pPr>
        <w:jc w:val="both"/>
        <w:rPr>
          <w:rFonts w:asciiTheme="minorHAnsi" w:hAnsiTheme="minorHAnsi" w:cstheme="minorHAnsi"/>
        </w:rPr>
      </w:pPr>
    </w:p>
    <w:p w:rsidR="00CF3542" w:rsidRDefault="00F35DFC" w:rsidP="00FD1C8A">
      <w:pPr>
        <w:jc w:val="both"/>
        <w:rPr>
          <w:rFonts w:asciiTheme="minorHAnsi" w:hAnsiTheme="minorHAnsi" w:cstheme="minorHAnsi"/>
        </w:rPr>
      </w:pPr>
      <w:r w:rsidRPr="00C316B0">
        <w:rPr>
          <w:rFonts w:asciiTheme="minorHAnsi" w:hAnsiTheme="minorHAnsi" w:cstheme="minorHAnsi"/>
        </w:rPr>
        <w:t>Il totale dei crediti in contabilità economico patrimoniale (al netto delle somme depositate in c/c/p e del denaro e valori in cassa) è pari al totale dei residui attivi riportati all’esercizio successivo al netto del Fondo Svalutazioni Crediti.</w:t>
      </w:r>
    </w:p>
    <w:p w:rsidR="009062EE" w:rsidRDefault="009062EE" w:rsidP="00FD1C8A">
      <w:pPr>
        <w:jc w:val="both"/>
        <w:rPr>
          <w:rFonts w:asciiTheme="minorHAnsi" w:hAnsiTheme="minorHAnsi" w:cstheme="minorHAnsi"/>
        </w:rPr>
      </w:pPr>
    </w:p>
    <w:p w:rsidR="009062EE" w:rsidRPr="00C316B0" w:rsidRDefault="009062EE" w:rsidP="00FD1C8A">
      <w:pPr>
        <w:jc w:val="both"/>
        <w:rPr>
          <w:rFonts w:asciiTheme="minorHAnsi" w:hAnsiTheme="minorHAnsi" w:cstheme="minorHAnsi"/>
        </w:rPr>
      </w:pPr>
    </w:p>
    <w:tbl>
      <w:tblPr>
        <w:tblW w:w="5093" w:type="dxa"/>
        <w:tblInd w:w="-5" w:type="dxa"/>
        <w:tblCellMar>
          <w:left w:w="0" w:type="dxa"/>
          <w:right w:w="0" w:type="dxa"/>
        </w:tblCellMar>
        <w:tblLook w:val="04A0"/>
      </w:tblPr>
      <w:tblGrid>
        <w:gridCol w:w="2967"/>
        <w:gridCol w:w="432"/>
        <w:gridCol w:w="1694"/>
      </w:tblGrid>
      <w:tr w:rsidR="00DA5DCC" w:rsidRPr="00C316B0" w:rsidTr="00A944DE">
        <w:trPr>
          <w:trHeight w:val="300"/>
        </w:trPr>
        <w:tc>
          <w:tcPr>
            <w:tcW w:w="2967"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5DCC" w:rsidRPr="00C316B0" w:rsidRDefault="00DA5DCC" w:rsidP="00FD1C8A">
            <w:pPr>
              <w:jc w:val="both"/>
              <w:rPr>
                <w:rFonts w:asciiTheme="minorHAnsi" w:hAnsiTheme="minorHAnsi" w:cstheme="minorHAnsi"/>
                <w:color w:val="000000"/>
              </w:rPr>
            </w:pPr>
            <w:r w:rsidRPr="00C316B0">
              <w:rPr>
                <w:rFonts w:asciiTheme="minorHAnsi" w:hAnsiTheme="minorHAnsi" w:cstheme="minorHAnsi"/>
                <w:color w:val="000000"/>
              </w:rPr>
              <w:t xml:space="preserve">Crediti  </w:t>
            </w:r>
          </w:p>
        </w:tc>
        <w:tc>
          <w:tcPr>
            <w:tcW w:w="432" w:type="dxa"/>
            <w:tcBorders>
              <w:top w:val="single" w:sz="8" w:space="0" w:color="auto"/>
              <w:left w:val="nil"/>
              <w:bottom w:val="single" w:sz="4" w:space="0" w:color="auto"/>
              <w:right w:val="single" w:sz="4" w:space="0" w:color="auto"/>
            </w:tcBorders>
          </w:tcPr>
          <w:p w:rsidR="00DA5DCC" w:rsidRPr="001E4477" w:rsidRDefault="00DA5DCC" w:rsidP="00DA5DCC">
            <w:pPr>
              <w:jc w:val="center"/>
              <w:rPr>
                <w:rFonts w:ascii="Calibri" w:hAnsi="Calibri" w:cs="Calibri"/>
                <w:b/>
                <w:color w:val="000000"/>
              </w:rPr>
            </w:pPr>
          </w:p>
        </w:tc>
        <w:tc>
          <w:tcPr>
            <w:tcW w:w="1694" w:type="dxa"/>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DA5DCC" w:rsidRPr="009062EE" w:rsidRDefault="00375293" w:rsidP="001E4477">
            <w:pPr>
              <w:jc w:val="right"/>
              <w:rPr>
                <w:rFonts w:asciiTheme="minorHAnsi" w:hAnsiTheme="minorHAnsi" w:cstheme="minorHAnsi"/>
                <w:color w:val="000000"/>
              </w:rPr>
            </w:pPr>
            <w:r>
              <w:rPr>
                <w:rFonts w:ascii="Calibri" w:hAnsi="Calibri" w:cs="Calibri"/>
                <w:color w:val="000000"/>
                <w:sz w:val="22"/>
                <w:szCs w:val="22"/>
              </w:rPr>
              <w:t>126.022,81</w:t>
            </w:r>
          </w:p>
        </w:tc>
      </w:tr>
      <w:tr w:rsidR="009062EE" w:rsidRPr="00C316B0" w:rsidTr="00A944DE">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62EE" w:rsidRPr="00C316B0" w:rsidRDefault="009062EE" w:rsidP="00FD1C8A">
            <w:pPr>
              <w:jc w:val="both"/>
              <w:rPr>
                <w:rFonts w:asciiTheme="minorHAnsi" w:hAnsiTheme="minorHAnsi" w:cstheme="minorHAnsi"/>
                <w:color w:val="000000"/>
              </w:rPr>
            </w:pPr>
            <w:r w:rsidRPr="009062EE">
              <w:rPr>
                <w:rFonts w:ascii="Calibri" w:hAnsi="Calibri" w:cs="Calibri"/>
                <w:color w:val="000000"/>
                <w:sz w:val="22"/>
                <w:szCs w:val="22"/>
              </w:rPr>
              <w:t>Credito IVA</w:t>
            </w:r>
          </w:p>
        </w:tc>
        <w:tc>
          <w:tcPr>
            <w:tcW w:w="432" w:type="dxa"/>
            <w:tcBorders>
              <w:top w:val="single" w:sz="4" w:space="0" w:color="auto"/>
              <w:left w:val="nil"/>
              <w:bottom w:val="single" w:sz="4" w:space="0" w:color="auto"/>
              <w:right w:val="single" w:sz="4" w:space="0" w:color="auto"/>
            </w:tcBorders>
          </w:tcPr>
          <w:p w:rsidR="009062EE" w:rsidRPr="00C316B0" w:rsidRDefault="009062EE" w:rsidP="00DA5DCC">
            <w:pPr>
              <w:jc w:val="center"/>
              <w:rPr>
                <w:rFonts w:asciiTheme="minorHAnsi" w:hAnsiTheme="minorHAnsi" w:cstheme="minorHAnsi"/>
                <w:color w:val="000000"/>
              </w:rPr>
            </w:pPr>
            <w:r>
              <w:rPr>
                <w:rFonts w:ascii="Calibri" w:hAnsi="Calibri" w:cs="Calibri"/>
                <w:color w:val="000000"/>
                <w:sz w:val="22"/>
                <w:szCs w:val="22"/>
              </w:rPr>
              <w:t>(-)</w:t>
            </w: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rsidR="009062EE" w:rsidRPr="009062EE" w:rsidRDefault="009062EE" w:rsidP="0078418F">
            <w:pPr>
              <w:jc w:val="right"/>
              <w:rPr>
                <w:rFonts w:ascii="Calibri" w:hAnsi="Calibri" w:cs="Calibri"/>
                <w:color w:val="000000"/>
              </w:rPr>
            </w:pPr>
            <w:r>
              <w:rPr>
                <w:rFonts w:ascii="Calibri" w:hAnsi="Calibri" w:cs="Calibri"/>
                <w:color w:val="000000"/>
                <w:sz w:val="22"/>
                <w:szCs w:val="22"/>
              </w:rPr>
              <w:t xml:space="preserve">        </w:t>
            </w:r>
            <w:r w:rsidR="0078418F">
              <w:rPr>
                <w:rFonts w:ascii="Calibri" w:hAnsi="Calibri" w:cs="Calibri"/>
                <w:color w:val="000000"/>
                <w:sz w:val="22"/>
                <w:szCs w:val="22"/>
              </w:rPr>
              <w:t>28.321,56</w:t>
            </w:r>
          </w:p>
        </w:tc>
      </w:tr>
      <w:tr w:rsidR="009062EE" w:rsidRPr="00C316B0" w:rsidTr="00A944DE">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062EE" w:rsidRPr="00C316B0" w:rsidRDefault="009062EE" w:rsidP="00FD1C8A">
            <w:pPr>
              <w:jc w:val="both"/>
              <w:rPr>
                <w:rFonts w:asciiTheme="minorHAnsi" w:hAnsiTheme="minorHAnsi" w:cstheme="minorHAnsi"/>
                <w:color w:val="000000"/>
              </w:rPr>
            </w:pPr>
          </w:p>
        </w:tc>
        <w:tc>
          <w:tcPr>
            <w:tcW w:w="432" w:type="dxa"/>
            <w:tcBorders>
              <w:top w:val="single" w:sz="4" w:space="0" w:color="auto"/>
              <w:left w:val="nil"/>
              <w:bottom w:val="single" w:sz="4" w:space="0" w:color="auto"/>
              <w:right w:val="single" w:sz="4" w:space="0" w:color="auto"/>
            </w:tcBorders>
          </w:tcPr>
          <w:p w:rsidR="009062EE" w:rsidRPr="00C316B0" w:rsidRDefault="009062EE" w:rsidP="00DA5DCC">
            <w:pPr>
              <w:jc w:val="center"/>
              <w:rPr>
                <w:rFonts w:asciiTheme="minorHAnsi" w:hAnsiTheme="minorHAnsi" w:cstheme="minorHAnsi"/>
                <w:color w:val="000000"/>
              </w:rPr>
            </w:pP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rsidR="009062EE" w:rsidRPr="009062EE" w:rsidRDefault="009062EE" w:rsidP="00375293">
            <w:pPr>
              <w:jc w:val="right"/>
              <w:rPr>
                <w:rFonts w:ascii="Calibri" w:hAnsi="Calibri" w:cs="Calibri"/>
                <w:b/>
                <w:color w:val="000000"/>
              </w:rPr>
            </w:pPr>
            <w:r w:rsidRPr="009062EE">
              <w:rPr>
                <w:rFonts w:ascii="Calibri" w:hAnsi="Calibri" w:cs="Calibri"/>
                <w:b/>
                <w:color w:val="000000"/>
                <w:sz w:val="22"/>
                <w:szCs w:val="22"/>
              </w:rPr>
              <w:t xml:space="preserve">            97.701,2</w:t>
            </w:r>
            <w:r w:rsidR="00375293">
              <w:rPr>
                <w:rFonts w:ascii="Calibri" w:hAnsi="Calibri" w:cs="Calibri"/>
                <w:b/>
                <w:color w:val="000000"/>
                <w:sz w:val="22"/>
                <w:szCs w:val="22"/>
              </w:rPr>
              <w:t>5</w:t>
            </w:r>
          </w:p>
        </w:tc>
      </w:tr>
      <w:tr w:rsidR="00DA5DCC" w:rsidRPr="00C316B0" w:rsidTr="00A944DE">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5DCC" w:rsidRPr="00C316B0" w:rsidRDefault="00DA5DCC" w:rsidP="00FD1C8A">
            <w:pPr>
              <w:jc w:val="both"/>
              <w:rPr>
                <w:rFonts w:asciiTheme="minorHAnsi" w:hAnsiTheme="minorHAnsi" w:cstheme="minorHAnsi"/>
                <w:color w:val="000000"/>
              </w:rPr>
            </w:pPr>
            <w:r w:rsidRPr="00C316B0">
              <w:rPr>
                <w:rFonts w:asciiTheme="minorHAnsi" w:hAnsiTheme="minorHAnsi" w:cstheme="minorHAnsi"/>
                <w:color w:val="000000"/>
              </w:rPr>
              <w:t> </w:t>
            </w:r>
          </w:p>
        </w:tc>
        <w:tc>
          <w:tcPr>
            <w:tcW w:w="432" w:type="dxa"/>
            <w:tcBorders>
              <w:top w:val="single" w:sz="4" w:space="0" w:color="auto"/>
              <w:left w:val="nil"/>
              <w:bottom w:val="single" w:sz="4" w:space="0" w:color="auto"/>
              <w:right w:val="single" w:sz="4" w:space="0" w:color="auto"/>
            </w:tcBorders>
          </w:tcPr>
          <w:p w:rsidR="00DA5DCC" w:rsidRPr="00C316B0" w:rsidRDefault="00DA5DCC" w:rsidP="00DA5DCC">
            <w:pPr>
              <w:jc w:val="center"/>
              <w:rPr>
                <w:rFonts w:asciiTheme="minorHAnsi" w:hAnsiTheme="minorHAnsi" w:cstheme="minorHAnsi"/>
                <w:color w:val="000000"/>
              </w:rPr>
            </w:pP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DA5DCC" w:rsidRPr="00C316B0" w:rsidRDefault="00DA5DCC" w:rsidP="001E4477">
            <w:pPr>
              <w:jc w:val="right"/>
              <w:rPr>
                <w:rFonts w:asciiTheme="minorHAnsi" w:hAnsiTheme="minorHAnsi" w:cstheme="minorHAnsi"/>
                <w:color w:val="000000"/>
              </w:rPr>
            </w:pPr>
            <w:r w:rsidRPr="00C316B0">
              <w:rPr>
                <w:rFonts w:asciiTheme="minorHAnsi" w:hAnsiTheme="minorHAnsi" w:cstheme="minorHAnsi"/>
                <w:color w:val="000000"/>
              </w:rPr>
              <w:t> </w:t>
            </w:r>
          </w:p>
        </w:tc>
      </w:tr>
      <w:tr w:rsidR="00DA5DCC" w:rsidRPr="00C316B0" w:rsidTr="00A944DE">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5DCC" w:rsidRPr="00C316B0" w:rsidRDefault="00DA5DCC" w:rsidP="00FD1C8A">
            <w:pPr>
              <w:jc w:val="both"/>
              <w:rPr>
                <w:rFonts w:asciiTheme="minorHAnsi" w:hAnsiTheme="minorHAnsi" w:cstheme="minorHAnsi"/>
                <w:color w:val="000000"/>
              </w:rPr>
            </w:pPr>
            <w:r w:rsidRPr="00C316B0">
              <w:rPr>
                <w:rFonts w:asciiTheme="minorHAnsi" w:hAnsiTheme="minorHAnsi" w:cstheme="minorHAnsi"/>
                <w:color w:val="000000"/>
              </w:rPr>
              <w:t xml:space="preserve"> Residui Attivi </w:t>
            </w:r>
          </w:p>
        </w:tc>
        <w:tc>
          <w:tcPr>
            <w:tcW w:w="432" w:type="dxa"/>
            <w:tcBorders>
              <w:top w:val="single" w:sz="4" w:space="0" w:color="auto"/>
              <w:left w:val="nil"/>
              <w:bottom w:val="single" w:sz="4" w:space="0" w:color="auto"/>
              <w:right w:val="single" w:sz="4" w:space="0" w:color="auto"/>
            </w:tcBorders>
          </w:tcPr>
          <w:p w:rsidR="00DA5DCC" w:rsidRDefault="00DA5DCC" w:rsidP="00DA5DCC">
            <w:pPr>
              <w:jc w:val="center"/>
              <w:rPr>
                <w:rFonts w:ascii="Calibri" w:hAnsi="Calibri" w:cs="Calibri"/>
                <w:color w:val="000000"/>
              </w:rPr>
            </w:pP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DA5DCC" w:rsidRPr="001E4477" w:rsidRDefault="00375293" w:rsidP="001E4477">
            <w:pPr>
              <w:jc w:val="right"/>
              <w:rPr>
                <w:rFonts w:ascii="Calibri" w:hAnsi="Calibri" w:cs="Calibri"/>
                <w:color w:val="000000"/>
              </w:rPr>
            </w:pPr>
            <w:r>
              <w:rPr>
                <w:rFonts w:ascii="Calibri" w:hAnsi="Calibri" w:cs="Calibri"/>
                <w:color w:val="000000"/>
                <w:sz w:val="22"/>
                <w:szCs w:val="22"/>
              </w:rPr>
              <w:t>143.065,66</w:t>
            </w:r>
          </w:p>
        </w:tc>
      </w:tr>
      <w:tr w:rsidR="009062EE" w:rsidRPr="00C316B0" w:rsidTr="00A944DE">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62EE" w:rsidRPr="00C316B0" w:rsidRDefault="009062EE" w:rsidP="009062EE">
            <w:pPr>
              <w:jc w:val="both"/>
              <w:rPr>
                <w:rFonts w:asciiTheme="minorHAnsi" w:hAnsiTheme="minorHAnsi" w:cstheme="minorHAnsi"/>
                <w:color w:val="000000"/>
              </w:rPr>
            </w:pPr>
            <w:r w:rsidRPr="00C316B0">
              <w:rPr>
                <w:rFonts w:asciiTheme="minorHAnsi" w:hAnsiTheme="minorHAnsi" w:cstheme="minorHAnsi"/>
                <w:color w:val="000000"/>
              </w:rPr>
              <w:t xml:space="preserve"> Fondo Svalutazione Crediti </w:t>
            </w:r>
          </w:p>
        </w:tc>
        <w:tc>
          <w:tcPr>
            <w:tcW w:w="432" w:type="dxa"/>
            <w:tcBorders>
              <w:top w:val="single" w:sz="4" w:space="0" w:color="auto"/>
              <w:left w:val="nil"/>
              <w:bottom w:val="single" w:sz="4" w:space="0" w:color="auto"/>
              <w:right w:val="single" w:sz="4" w:space="0" w:color="auto"/>
            </w:tcBorders>
          </w:tcPr>
          <w:p w:rsidR="009062EE" w:rsidRPr="001E4477" w:rsidRDefault="009062EE" w:rsidP="009062EE">
            <w:pPr>
              <w:jc w:val="center"/>
              <w:rPr>
                <w:rFonts w:ascii="Calibri" w:hAnsi="Calibri" w:cs="Calibri"/>
                <w:color w:val="000000"/>
              </w:rPr>
            </w:pPr>
            <w:r>
              <w:rPr>
                <w:rFonts w:ascii="Calibri" w:hAnsi="Calibri" w:cs="Calibri"/>
                <w:color w:val="000000"/>
                <w:sz w:val="22"/>
                <w:szCs w:val="22"/>
              </w:rPr>
              <w:t>(-)</w:t>
            </w: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9062EE" w:rsidRPr="009062EE" w:rsidRDefault="009062EE" w:rsidP="009062EE">
            <w:pPr>
              <w:jc w:val="right"/>
              <w:rPr>
                <w:rFonts w:ascii="Calibri" w:hAnsi="Calibri" w:cs="Calibri"/>
                <w:color w:val="000000"/>
              </w:rPr>
            </w:pPr>
            <w:r>
              <w:rPr>
                <w:rFonts w:ascii="Calibri" w:hAnsi="Calibri" w:cs="Calibri"/>
                <w:color w:val="000000"/>
                <w:sz w:val="22"/>
                <w:szCs w:val="22"/>
              </w:rPr>
              <w:t xml:space="preserve">          </w:t>
            </w:r>
            <w:r w:rsidR="00375293">
              <w:rPr>
                <w:rFonts w:ascii="Calibri" w:hAnsi="Calibri" w:cs="Calibri"/>
                <w:color w:val="000000"/>
                <w:sz w:val="22"/>
                <w:szCs w:val="22"/>
              </w:rPr>
              <w:t>37.587,51</w:t>
            </w:r>
            <w:r w:rsidRPr="009062EE">
              <w:rPr>
                <w:rFonts w:ascii="Calibri" w:hAnsi="Calibri" w:cs="Calibri"/>
                <w:color w:val="000000"/>
                <w:sz w:val="22"/>
                <w:szCs w:val="22"/>
              </w:rPr>
              <w:t xml:space="preserve"> </w:t>
            </w:r>
          </w:p>
        </w:tc>
      </w:tr>
      <w:tr w:rsidR="009062EE" w:rsidRPr="00C316B0" w:rsidTr="00A944DE">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062EE" w:rsidRPr="00C316B0" w:rsidRDefault="009062EE" w:rsidP="009062EE">
            <w:pPr>
              <w:jc w:val="both"/>
              <w:rPr>
                <w:rFonts w:asciiTheme="minorHAnsi" w:hAnsiTheme="minorHAnsi" w:cstheme="minorHAnsi"/>
                <w:color w:val="000000"/>
              </w:rPr>
            </w:pPr>
            <w:r w:rsidRPr="00C316B0">
              <w:rPr>
                <w:rFonts w:asciiTheme="minorHAnsi" w:hAnsiTheme="minorHAnsi" w:cstheme="minorHAnsi"/>
                <w:color w:val="000000"/>
              </w:rPr>
              <w:t xml:space="preserve"> Depositi ccp e valori in cassa </w:t>
            </w:r>
          </w:p>
        </w:tc>
        <w:tc>
          <w:tcPr>
            <w:tcW w:w="432" w:type="dxa"/>
            <w:tcBorders>
              <w:top w:val="single" w:sz="4" w:space="0" w:color="auto"/>
              <w:left w:val="nil"/>
              <w:bottom w:val="single" w:sz="4" w:space="0" w:color="auto"/>
              <w:right w:val="single" w:sz="4" w:space="0" w:color="auto"/>
            </w:tcBorders>
          </w:tcPr>
          <w:p w:rsidR="009062EE" w:rsidRPr="001E4477" w:rsidRDefault="009062EE" w:rsidP="009062EE">
            <w:pPr>
              <w:jc w:val="center"/>
              <w:rPr>
                <w:rFonts w:ascii="Calibri" w:hAnsi="Calibri" w:cs="Calibri"/>
                <w:color w:val="000000"/>
              </w:rPr>
            </w:pPr>
            <w:r>
              <w:rPr>
                <w:rFonts w:ascii="Calibri" w:hAnsi="Calibri" w:cs="Calibri"/>
                <w:color w:val="000000"/>
                <w:sz w:val="22"/>
                <w:szCs w:val="22"/>
              </w:rPr>
              <w:t>(-)</w:t>
            </w: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9062EE" w:rsidRPr="009062EE" w:rsidRDefault="009062EE" w:rsidP="009062EE">
            <w:pPr>
              <w:jc w:val="right"/>
              <w:rPr>
                <w:rFonts w:ascii="Calibri" w:hAnsi="Calibri" w:cs="Calibri"/>
                <w:color w:val="000000"/>
              </w:rPr>
            </w:pPr>
            <w:r>
              <w:rPr>
                <w:rFonts w:ascii="Calibri" w:hAnsi="Calibri" w:cs="Calibri"/>
                <w:color w:val="000000"/>
                <w:sz w:val="22"/>
                <w:szCs w:val="22"/>
              </w:rPr>
              <w:t xml:space="preserve">             </w:t>
            </w:r>
            <w:r w:rsidRPr="009062EE">
              <w:rPr>
                <w:rFonts w:ascii="Calibri" w:hAnsi="Calibri" w:cs="Calibri"/>
                <w:color w:val="000000"/>
                <w:sz w:val="22"/>
                <w:szCs w:val="22"/>
              </w:rPr>
              <w:t xml:space="preserve">7.776,90 </w:t>
            </w:r>
          </w:p>
        </w:tc>
      </w:tr>
      <w:tr w:rsidR="009062EE" w:rsidRPr="00C316B0" w:rsidTr="00A944DE">
        <w:trPr>
          <w:trHeight w:val="315"/>
        </w:trPr>
        <w:tc>
          <w:tcPr>
            <w:tcW w:w="2967"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9062EE" w:rsidRPr="00C316B0" w:rsidRDefault="009062EE" w:rsidP="009062EE">
            <w:pPr>
              <w:jc w:val="both"/>
              <w:rPr>
                <w:rFonts w:asciiTheme="minorHAnsi" w:hAnsiTheme="minorHAnsi" w:cstheme="minorHAnsi"/>
                <w:color w:val="000000"/>
              </w:rPr>
            </w:pPr>
            <w:r w:rsidRPr="00C316B0">
              <w:rPr>
                <w:rFonts w:asciiTheme="minorHAnsi" w:hAnsiTheme="minorHAnsi" w:cstheme="minorHAnsi"/>
                <w:color w:val="000000"/>
              </w:rPr>
              <w:t> </w:t>
            </w:r>
          </w:p>
        </w:tc>
        <w:tc>
          <w:tcPr>
            <w:tcW w:w="432" w:type="dxa"/>
            <w:tcBorders>
              <w:top w:val="single" w:sz="4" w:space="0" w:color="auto"/>
              <w:left w:val="nil"/>
              <w:bottom w:val="single" w:sz="8" w:space="0" w:color="auto"/>
              <w:right w:val="single" w:sz="4" w:space="0" w:color="auto"/>
            </w:tcBorders>
          </w:tcPr>
          <w:p w:rsidR="009062EE" w:rsidRPr="001E4477" w:rsidRDefault="009062EE" w:rsidP="009062EE">
            <w:pPr>
              <w:jc w:val="center"/>
              <w:rPr>
                <w:rFonts w:ascii="Calibri" w:hAnsi="Calibri" w:cs="Calibri"/>
                <w:b/>
                <w:color w:val="000000"/>
              </w:rPr>
            </w:pPr>
          </w:p>
        </w:tc>
        <w:tc>
          <w:tcPr>
            <w:tcW w:w="1694"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9062EE" w:rsidRPr="001E4477" w:rsidRDefault="009062EE" w:rsidP="009062EE">
            <w:pPr>
              <w:jc w:val="right"/>
              <w:rPr>
                <w:rFonts w:asciiTheme="minorHAnsi" w:hAnsiTheme="minorHAnsi" w:cstheme="minorHAnsi"/>
                <w:b/>
                <w:color w:val="000000"/>
              </w:rPr>
            </w:pPr>
            <w:r w:rsidRPr="009062EE">
              <w:rPr>
                <w:rFonts w:ascii="Calibri" w:hAnsi="Calibri" w:cs="Calibri"/>
                <w:b/>
                <w:color w:val="000000"/>
                <w:sz w:val="22"/>
                <w:szCs w:val="22"/>
              </w:rPr>
              <w:t xml:space="preserve">            </w:t>
            </w:r>
            <w:r w:rsidR="00375293">
              <w:rPr>
                <w:rFonts w:ascii="Calibri" w:hAnsi="Calibri" w:cs="Calibri"/>
                <w:b/>
                <w:color w:val="000000"/>
                <w:sz w:val="22"/>
                <w:szCs w:val="22"/>
              </w:rPr>
              <w:t>97.701,25</w:t>
            </w:r>
          </w:p>
        </w:tc>
      </w:tr>
    </w:tbl>
    <w:p w:rsidR="004A0D69" w:rsidRDefault="004A0D69" w:rsidP="00A944DE">
      <w:pPr>
        <w:jc w:val="both"/>
        <w:rPr>
          <w:rFonts w:asciiTheme="minorHAnsi" w:hAnsiTheme="minorHAnsi" w:cstheme="minorHAnsi"/>
          <w:b/>
        </w:rPr>
      </w:pPr>
    </w:p>
    <w:p w:rsidR="004A0D69" w:rsidRDefault="004A0D69" w:rsidP="00A944DE">
      <w:pPr>
        <w:jc w:val="both"/>
        <w:rPr>
          <w:rFonts w:asciiTheme="minorHAnsi" w:hAnsiTheme="minorHAnsi" w:cstheme="minorHAnsi"/>
        </w:rPr>
      </w:pPr>
      <w:r w:rsidRPr="004A0D69">
        <w:rPr>
          <w:rFonts w:asciiTheme="minorHAnsi" w:hAnsiTheme="minorHAnsi" w:cstheme="minorHAnsi"/>
        </w:rPr>
        <w:t>Effettu</w:t>
      </w:r>
      <w:r>
        <w:rPr>
          <w:rFonts w:asciiTheme="minorHAnsi" w:hAnsiTheme="minorHAnsi" w:cstheme="minorHAnsi"/>
        </w:rPr>
        <w:t>a</w:t>
      </w:r>
      <w:r w:rsidRPr="004A0D69">
        <w:rPr>
          <w:rFonts w:asciiTheme="minorHAnsi" w:hAnsiTheme="minorHAnsi" w:cstheme="minorHAnsi"/>
        </w:rPr>
        <w:t xml:space="preserve">te le </w:t>
      </w:r>
      <w:r>
        <w:rPr>
          <w:rFonts w:asciiTheme="minorHAnsi" w:hAnsiTheme="minorHAnsi" w:cstheme="minorHAnsi"/>
        </w:rPr>
        <w:t>opportune rettifiche i crediti coincidono con i r</w:t>
      </w:r>
      <w:r w:rsidR="009146EC">
        <w:rPr>
          <w:rFonts w:asciiTheme="minorHAnsi" w:hAnsiTheme="minorHAnsi" w:cstheme="minorHAnsi"/>
        </w:rPr>
        <w:t>esidui attivi derivanti dalla co</w:t>
      </w:r>
      <w:r>
        <w:rPr>
          <w:rFonts w:asciiTheme="minorHAnsi" w:hAnsiTheme="minorHAnsi" w:cstheme="minorHAnsi"/>
        </w:rPr>
        <w:t>ntabilità finanziaria</w:t>
      </w:r>
    </w:p>
    <w:p w:rsidR="004A0D69" w:rsidRPr="004A0D69" w:rsidRDefault="004A0D69" w:rsidP="00A944DE">
      <w:pPr>
        <w:jc w:val="both"/>
        <w:rPr>
          <w:rFonts w:asciiTheme="minorHAnsi" w:hAnsiTheme="minorHAnsi" w:cstheme="minorHAnsi"/>
        </w:rPr>
      </w:pPr>
    </w:p>
    <w:p w:rsidR="004A0D69" w:rsidRDefault="004A0D69" w:rsidP="00A944DE">
      <w:pPr>
        <w:jc w:val="both"/>
        <w:rPr>
          <w:rFonts w:asciiTheme="minorHAnsi" w:hAnsiTheme="minorHAnsi" w:cstheme="minorHAnsi"/>
          <w:b/>
        </w:rPr>
      </w:pPr>
    </w:p>
    <w:p w:rsidR="00A944DE" w:rsidRPr="00A944DE" w:rsidRDefault="00A944DE" w:rsidP="00A944DE">
      <w:pPr>
        <w:jc w:val="both"/>
        <w:rPr>
          <w:rFonts w:asciiTheme="minorHAnsi" w:hAnsiTheme="minorHAnsi" w:cstheme="minorHAnsi"/>
          <w:b/>
        </w:rPr>
      </w:pPr>
      <w:r>
        <w:rPr>
          <w:rFonts w:asciiTheme="minorHAnsi" w:hAnsiTheme="minorHAnsi" w:cstheme="minorHAnsi"/>
          <w:b/>
        </w:rPr>
        <w:t>DISPO</w:t>
      </w:r>
      <w:r w:rsidR="00184DEA">
        <w:rPr>
          <w:rFonts w:asciiTheme="minorHAnsi" w:hAnsiTheme="minorHAnsi" w:cstheme="minorHAnsi"/>
          <w:b/>
        </w:rPr>
        <w:t>NI</w:t>
      </w:r>
      <w:r>
        <w:rPr>
          <w:rFonts w:asciiTheme="minorHAnsi" w:hAnsiTheme="minorHAnsi" w:cstheme="minorHAnsi"/>
          <w:b/>
        </w:rPr>
        <w:t>BILITA’ LIQUIDE</w:t>
      </w:r>
    </w:p>
    <w:p w:rsidR="00A944DE" w:rsidRDefault="00A944DE"/>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42"/>
        <w:gridCol w:w="3571"/>
        <w:gridCol w:w="1425"/>
        <w:gridCol w:w="1490"/>
      </w:tblGrid>
      <w:tr w:rsidR="00681AB3" w:rsidRPr="00681AB3" w:rsidTr="00A944DE">
        <w:trPr>
          <w:trHeight w:val="255"/>
        </w:trPr>
        <w:tc>
          <w:tcPr>
            <w:tcW w:w="3142" w:type="dxa"/>
            <w:shd w:val="clear" w:color="DDEBF7" w:fill="DDEBF7"/>
            <w:vAlign w:val="bottom"/>
            <w:hideMark/>
          </w:tcPr>
          <w:p w:rsidR="00681AB3" w:rsidRPr="00681AB3" w:rsidRDefault="00A45D73" w:rsidP="00337F42">
            <w:pPr>
              <w:jc w:val="both"/>
              <w:rPr>
                <w:rFonts w:asciiTheme="minorHAnsi" w:hAnsiTheme="minorHAnsi" w:cstheme="minorHAnsi"/>
                <w:b/>
                <w:bCs/>
                <w:color w:val="000000"/>
              </w:rPr>
            </w:pPr>
            <w:r>
              <w:rPr>
                <w:rFonts w:asciiTheme="minorHAnsi" w:hAnsiTheme="minorHAnsi" w:cstheme="minorHAnsi"/>
                <w:b/>
                <w:bCs/>
                <w:color w:val="000000"/>
                <w:sz w:val="22"/>
              </w:rPr>
              <w:br/>
            </w:r>
            <w:r w:rsidR="00681AB3" w:rsidRPr="00681AB3">
              <w:rPr>
                <w:rFonts w:asciiTheme="minorHAnsi" w:hAnsiTheme="minorHAnsi" w:cstheme="minorHAnsi"/>
                <w:b/>
                <w:bCs/>
                <w:color w:val="000000"/>
                <w:sz w:val="22"/>
              </w:rPr>
              <w:t>RIF_PROSPETTO</w:t>
            </w:r>
          </w:p>
        </w:tc>
        <w:tc>
          <w:tcPr>
            <w:tcW w:w="3571" w:type="dxa"/>
            <w:shd w:val="clear" w:color="DDEBF7" w:fill="DDEBF7"/>
            <w:vAlign w:val="bottom"/>
            <w:hideMark/>
          </w:tcPr>
          <w:p w:rsidR="00681AB3" w:rsidRPr="00681AB3" w:rsidRDefault="00681AB3" w:rsidP="00337F42">
            <w:pPr>
              <w:jc w:val="both"/>
              <w:rPr>
                <w:rFonts w:asciiTheme="minorHAnsi" w:hAnsiTheme="minorHAnsi" w:cstheme="minorHAnsi"/>
                <w:b/>
                <w:bCs/>
                <w:color w:val="000000"/>
              </w:rPr>
            </w:pPr>
            <w:r w:rsidRPr="00681AB3">
              <w:rPr>
                <w:rFonts w:asciiTheme="minorHAnsi" w:hAnsiTheme="minorHAnsi" w:cstheme="minorHAnsi"/>
                <w:b/>
                <w:bCs/>
                <w:color w:val="000000"/>
                <w:sz w:val="22"/>
              </w:rPr>
              <w:t>PIANO DEI CONTI</w:t>
            </w:r>
          </w:p>
        </w:tc>
        <w:tc>
          <w:tcPr>
            <w:tcW w:w="1425" w:type="dxa"/>
            <w:shd w:val="clear" w:color="DDEBF7" w:fill="DDEBF7"/>
            <w:noWrap/>
            <w:hideMark/>
          </w:tcPr>
          <w:p w:rsidR="00681AB3" w:rsidRPr="00681AB3" w:rsidRDefault="00681AB3" w:rsidP="00681AB3">
            <w:pPr>
              <w:jc w:val="right"/>
              <w:rPr>
                <w:rFonts w:asciiTheme="minorHAnsi" w:hAnsiTheme="minorHAnsi" w:cstheme="minorHAnsi"/>
                <w:b/>
                <w:bCs/>
                <w:color w:val="000000"/>
              </w:rPr>
            </w:pPr>
            <w:r w:rsidRPr="00681AB3">
              <w:rPr>
                <w:rFonts w:asciiTheme="minorHAnsi" w:hAnsiTheme="minorHAnsi" w:cstheme="minorHAnsi"/>
                <w:b/>
                <w:bCs/>
                <w:color w:val="000000"/>
                <w:sz w:val="22"/>
              </w:rPr>
              <w:t>2018</w:t>
            </w:r>
          </w:p>
        </w:tc>
        <w:tc>
          <w:tcPr>
            <w:tcW w:w="1490" w:type="dxa"/>
            <w:shd w:val="clear" w:color="DDEBF7" w:fill="DDEBF7"/>
            <w:noWrap/>
            <w:hideMark/>
          </w:tcPr>
          <w:p w:rsidR="00681AB3" w:rsidRPr="00681AB3" w:rsidRDefault="00681AB3" w:rsidP="00681AB3">
            <w:pPr>
              <w:jc w:val="right"/>
              <w:rPr>
                <w:rFonts w:asciiTheme="minorHAnsi" w:hAnsiTheme="minorHAnsi" w:cstheme="minorHAnsi"/>
                <w:b/>
                <w:bCs/>
                <w:color w:val="000000"/>
              </w:rPr>
            </w:pPr>
            <w:r w:rsidRPr="00681AB3">
              <w:rPr>
                <w:rFonts w:asciiTheme="minorHAnsi" w:hAnsiTheme="minorHAnsi" w:cstheme="minorHAnsi"/>
                <w:b/>
                <w:bCs/>
                <w:color w:val="000000"/>
                <w:sz w:val="22"/>
              </w:rPr>
              <w:t>2017</w:t>
            </w:r>
          </w:p>
        </w:tc>
      </w:tr>
      <w:tr w:rsidR="00681AB3" w:rsidRPr="00681AB3" w:rsidTr="00A944DE">
        <w:trPr>
          <w:trHeight w:val="255"/>
        </w:trPr>
        <w:tc>
          <w:tcPr>
            <w:tcW w:w="3142" w:type="dxa"/>
            <w:shd w:val="clear" w:color="auto" w:fill="auto"/>
            <w:vAlign w:val="bottom"/>
          </w:tcPr>
          <w:p w:rsidR="00681AB3" w:rsidRPr="00681AB3" w:rsidRDefault="00681AB3" w:rsidP="00337F42">
            <w:pPr>
              <w:jc w:val="both"/>
              <w:rPr>
                <w:rFonts w:asciiTheme="minorHAnsi" w:hAnsiTheme="minorHAnsi" w:cstheme="minorHAnsi"/>
                <w:b/>
                <w:bCs/>
                <w:color w:val="000000"/>
              </w:rPr>
            </w:pPr>
          </w:p>
        </w:tc>
        <w:tc>
          <w:tcPr>
            <w:tcW w:w="3571" w:type="dxa"/>
            <w:shd w:val="clear" w:color="auto" w:fill="auto"/>
            <w:vAlign w:val="bottom"/>
          </w:tcPr>
          <w:p w:rsidR="00681AB3" w:rsidRPr="00681AB3" w:rsidRDefault="00681AB3" w:rsidP="00337F42">
            <w:pPr>
              <w:jc w:val="both"/>
              <w:rPr>
                <w:rFonts w:asciiTheme="minorHAnsi" w:hAnsiTheme="minorHAnsi" w:cstheme="minorHAnsi"/>
              </w:rPr>
            </w:pPr>
          </w:p>
        </w:tc>
        <w:tc>
          <w:tcPr>
            <w:tcW w:w="1425" w:type="dxa"/>
            <w:shd w:val="clear" w:color="auto" w:fill="auto"/>
            <w:noWrap/>
          </w:tcPr>
          <w:p w:rsidR="00681AB3" w:rsidRPr="00681AB3" w:rsidRDefault="00681AB3" w:rsidP="00681AB3">
            <w:pPr>
              <w:jc w:val="right"/>
              <w:rPr>
                <w:rFonts w:asciiTheme="minorHAnsi" w:hAnsiTheme="minorHAnsi" w:cstheme="minorHAnsi"/>
              </w:rPr>
            </w:pPr>
          </w:p>
        </w:tc>
        <w:tc>
          <w:tcPr>
            <w:tcW w:w="1490" w:type="dxa"/>
            <w:shd w:val="clear" w:color="auto" w:fill="auto"/>
            <w:noWrap/>
          </w:tcPr>
          <w:p w:rsidR="00681AB3" w:rsidRPr="00681AB3" w:rsidRDefault="00681AB3" w:rsidP="00681AB3">
            <w:pPr>
              <w:jc w:val="right"/>
              <w:rPr>
                <w:rFonts w:asciiTheme="minorHAnsi" w:hAnsiTheme="minorHAnsi" w:cstheme="minorHAnsi"/>
              </w:rPr>
            </w:pPr>
          </w:p>
        </w:tc>
      </w:tr>
      <w:tr w:rsidR="004109AA" w:rsidRPr="004109AA" w:rsidTr="00A944DE">
        <w:trPr>
          <w:trHeight w:val="255"/>
        </w:trPr>
        <w:tc>
          <w:tcPr>
            <w:tcW w:w="3142" w:type="dxa"/>
            <w:tcBorders>
              <w:top w:val="single" w:sz="4" w:space="0" w:color="auto"/>
              <w:left w:val="single" w:sz="4" w:space="0" w:color="auto"/>
              <w:bottom w:val="single" w:sz="4" w:space="0" w:color="auto"/>
              <w:right w:val="single" w:sz="4" w:space="0" w:color="auto"/>
            </w:tcBorders>
            <w:shd w:val="clear" w:color="auto" w:fill="auto"/>
          </w:tcPr>
          <w:p w:rsidR="004109AA" w:rsidRPr="004109AA" w:rsidRDefault="004109AA" w:rsidP="004109AA">
            <w:pPr>
              <w:rPr>
                <w:rFonts w:asciiTheme="minorHAnsi" w:hAnsiTheme="minorHAnsi" w:cstheme="minorHAnsi"/>
                <w:bCs/>
                <w:color w:val="000000"/>
                <w:sz w:val="20"/>
              </w:rPr>
            </w:pPr>
            <w:r w:rsidRPr="004109AA">
              <w:rPr>
                <w:rFonts w:asciiTheme="minorHAnsi" w:hAnsiTheme="minorHAnsi" w:cstheme="minorHAnsi"/>
                <w:bCs/>
                <w:color w:val="000000"/>
                <w:sz w:val="20"/>
              </w:rPr>
              <w:t>CIV1a - Istituto tesoriere</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4109AA" w:rsidRPr="004109AA" w:rsidRDefault="004109AA" w:rsidP="004109AA">
            <w:pPr>
              <w:rPr>
                <w:rFonts w:asciiTheme="minorHAnsi" w:hAnsiTheme="minorHAnsi" w:cstheme="minorHAnsi"/>
                <w:bCs/>
                <w:color w:val="000000"/>
                <w:sz w:val="20"/>
              </w:rPr>
            </w:pPr>
            <w:r w:rsidRPr="004109AA">
              <w:rPr>
                <w:rFonts w:asciiTheme="minorHAnsi" w:hAnsiTheme="minorHAnsi" w:cstheme="minorHAnsi"/>
                <w:bCs/>
                <w:color w:val="000000"/>
                <w:sz w:val="20"/>
              </w:rPr>
              <w:t>1.3.4.01.01.01.001 - Istituto tesoriere/cassiere</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4109AA" w:rsidRPr="004109AA" w:rsidRDefault="004109AA" w:rsidP="004109AA">
            <w:pPr>
              <w:jc w:val="right"/>
              <w:rPr>
                <w:rFonts w:asciiTheme="minorHAnsi" w:hAnsiTheme="minorHAnsi" w:cstheme="minorHAnsi"/>
                <w:bCs/>
                <w:color w:val="000000"/>
                <w:sz w:val="20"/>
              </w:rPr>
            </w:pPr>
            <w:r w:rsidRPr="004109AA">
              <w:rPr>
                <w:rFonts w:asciiTheme="minorHAnsi" w:hAnsiTheme="minorHAnsi" w:cstheme="minorHAnsi"/>
                <w:bCs/>
                <w:color w:val="000000"/>
                <w:sz w:val="20"/>
              </w:rPr>
              <w:t>195.220,20</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4109AA" w:rsidRPr="004109AA" w:rsidRDefault="004109AA" w:rsidP="004109AA">
            <w:pPr>
              <w:jc w:val="right"/>
              <w:rPr>
                <w:rFonts w:asciiTheme="minorHAnsi" w:hAnsiTheme="minorHAnsi" w:cstheme="minorHAnsi"/>
                <w:bCs/>
                <w:color w:val="000000"/>
                <w:sz w:val="20"/>
              </w:rPr>
            </w:pPr>
            <w:r w:rsidRPr="004109AA">
              <w:rPr>
                <w:rFonts w:asciiTheme="minorHAnsi" w:hAnsiTheme="minorHAnsi" w:cstheme="minorHAnsi"/>
                <w:bCs/>
                <w:color w:val="000000"/>
                <w:sz w:val="20"/>
              </w:rPr>
              <w:t>180.348,40</w:t>
            </w:r>
          </w:p>
        </w:tc>
      </w:tr>
      <w:tr w:rsidR="004109AA" w:rsidRPr="004109AA" w:rsidTr="00A944DE">
        <w:trPr>
          <w:trHeight w:val="255"/>
        </w:trPr>
        <w:tc>
          <w:tcPr>
            <w:tcW w:w="3142" w:type="dxa"/>
            <w:tcBorders>
              <w:top w:val="single" w:sz="4" w:space="0" w:color="auto"/>
              <w:left w:val="single" w:sz="4" w:space="0" w:color="auto"/>
              <w:bottom w:val="single" w:sz="4" w:space="0" w:color="auto"/>
              <w:right w:val="single" w:sz="4" w:space="0" w:color="auto"/>
            </w:tcBorders>
            <w:shd w:val="clear" w:color="auto" w:fill="auto"/>
          </w:tcPr>
          <w:p w:rsidR="004109AA" w:rsidRPr="004109AA" w:rsidRDefault="004109AA" w:rsidP="004109AA">
            <w:pPr>
              <w:rPr>
                <w:rFonts w:asciiTheme="minorHAnsi" w:hAnsiTheme="minorHAnsi" w:cstheme="minorHAnsi"/>
                <w:bCs/>
                <w:color w:val="000000"/>
                <w:sz w:val="20"/>
              </w:rPr>
            </w:pPr>
            <w:r w:rsidRPr="004109AA">
              <w:rPr>
                <w:rFonts w:asciiTheme="minorHAnsi" w:hAnsiTheme="minorHAnsi" w:cstheme="minorHAnsi"/>
                <w:bCs/>
                <w:color w:val="000000"/>
                <w:sz w:val="20"/>
              </w:rPr>
              <w:t>CIV2 - Altri depositi bancari e postali</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4109AA" w:rsidRPr="004109AA" w:rsidRDefault="004109AA" w:rsidP="004109AA">
            <w:pPr>
              <w:rPr>
                <w:rFonts w:asciiTheme="minorHAnsi" w:hAnsiTheme="minorHAnsi" w:cstheme="minorHAnsi"/>
                <w:bCs/>
                <w:color w:val="000000"/>
                <w:sz w:val="20"/>
              </w:rPr>
            </w:pPr>
            <w:r w:rsidRPr="004109AA">
              <w:rPr>
                <w:rFonts w:asciiTheme="minorHAnsi" w:hAnsiTheme="minorHAnsi" w:cstheme="minorHAnsi"/>
                <w:bCs/>
                <w:color w:val="000000"/>
                <w:sz w:val="20"/>
              </w:rPr>
              <w:t>1.3.4.02.02.01.001 - Depositi postali</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4109AA" w:rsidRPr="004109AA" w:rsidRDefault="004109AA" w:rsidP="004109AA">
            <w:pPr>
              <w:jc w:val="right"/>
              <w:rPr>
                <w:rFonts w:asciiTheme="minorHAnsi" w:hAnsiTheme="minorHAnsi" w:cstheme="minorHAnsi"/>
                <w:bCs/>
                <w:color w:val="000000"/>
                <w:sz w:val="20"/>
              </w:rPr>
            </w:pPr>
            <w:r w:rsidRPr="004109AA">
              <w:rPr>
                <w:rFonts w:asciiTheme="minorHAnsi" w:hAnsiTheme="minorHAnsi" w:cstheme="minorHAnsi"/>
                <w:bCs/>
                <w:color w:val="000000"/>
                <w:sz w:val="20"/>
              </w:rPr>
              <w:t>7.776,90</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4109AA" w:rsidRPr="004109AA" w:rsidRDefault="004109AA" w:rsidP="004109AA">
            <w:pPr>
              <w:jc w:val="right"/>
              <w:rPr>
                <w:rFonts w:asciiTheme="minorHAnsi" w:hAnsiTheme="minorHAnsi" w:cstheme="minorHAnsi"/>
                <w:bCs/>
                <w:color w:val="000000"/>
                <w:sz w:val="20"/>
              </w:rPr>
            </w:pPr>
            <w:r w:rsidRPr="004109AA">
              <w:rPr>
                <w:rFonts w:asciiTheme="minorHAnsi" w:hAnsiTheme="minorHAnsi" w:cstheme="minorHAnsi"/>
                <w:bCs/>
                <w:color w:val="000000"/>
                <w:sz w:val="20"/>
              </w:rPr>
              <w:t>0</w:t>
            </w:r>
          </w:p>
        </w:tc>
      </w:tr>
      <w:tr w:rsidR="00681AB3" w:rsidRPr="004109AA" w:rsidTr="00A944DE">
        <w:trPr>
          <w:trHeight w:val="255"/>
        </w:trPr>
        <w:tc>
          <w:tcPr>
            <w:tcW w:w="3142" w:type="dxa"/>
            <w:tcBorders>
              <w:top w:val="single" w:sz="4" w:space="0" w:color="auto"/>
              <w:left w:val="single" w:sz="4" w:space="0" w:color="auto"/>
              <w:bottom w:val="single" w:sz="4" w:space="0" w:color="auto"/>
              <w:right w:val="single" w:sz="4" w:space="0" w:color="auto"/>
            </w:tcBorders>
            <w:shd w:val="clear" w:color="auto" w:fill="auto"/>
          </w:tcPr>
          <w:p w:rsidR="00681AB3" w:rsidRPr="004109AA" w:rsidRDefault="00681AB3" w:rsidP="00681AB3">
            <w:pPr>
              <w:rPr>
                <w:rFonts w:asciiTheme="minorHAnsi" w:hAnsiTheme="minorHAnsi" w:cstheme="minorHAnsi"/>
                <w:bCs/>
                <w:color w:val="000000"/>
                <w:sz w:val="20"/>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81AB3" w:rsidRPr="004109AA" w:rsidRDefault="00681AB3" w:rsidP="00681AB3">
            <w:pPr>
              <w:rPr>
                <w:rFonts w:asciiTheme="minorHAnsi" w:hAnsiTheme="minorHAnsi" w:cstheme="minorHAnsi"/>
                <w:bCs/>
                <w:color w:val="000000"/>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681AB3" w:rsidRPr="004109AA" w:rsidRDefault="00681AB3" w:rsidP="004109AA">
            <w:pPr>
              <w:rPr>
                <w:rFonts w:asciiTheme="minorHAnsi" w:hAnsiTheme="minorHAnsi" w:cstheme="minorHAnsi"/>
                <w:bCs/>
                <w:color w:val="000000"/>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681AB3" w:rsidRPr="004109AA" w:rsidRDefault="00681AB3" w:rsidP="004109AA">
            <w:pPr>
              <w:rPr>
                <w:rFonts w:asciiTheme="minorHAnsi" w:hAnsiTheme="minorHAnsi" w:cstheme="minorHAnsi"/>
                <w:bCs/>
                <w:color w:val="000000"/>
                <w:sz w:val="20"/>
              </w:rPr>
            </w:pPr>
          </w:p>
        </w:tc>
      </w:tr>
      <w:tr w:rsidR="00681AB3" w:rsidRPr="004109AA" w:rsidTr="00A944DE">
        <w:trPr>
          <w:trHeight w:val="255"/>
        </w:trPr>
        <w:tc>
          <w:tcPr>
            <w:tcW w:w="3142" w:type="dxa"/>
            <w:tcBorders>
              <w:top w:val="single" w:sz="4" w:space="0" w:color="auto"/>
              <w:left w:val="single" w:sz="4" w:space="0" w:color="auto"/>
              <w:bottom w:val="single" w:sz="4" w:space="0" w:color="auto"/>
              <w:right w:val="single" w:sz="4" w:space="0" w:color="auto"/>
            </w:tcBorders>
            <w:shd w:val="clear" w:color="auto" w:fill="auto"/>
          </w:tcPr>
          <w:p w:rsidR="00681AB3" w:rsidRPr="004109AA" w:rsidRDefault="00681AB3" w:rsidP="00681AB3">
            <w:pPr>
              <w:rPr>
                <w:rFonts w:asciiTheme="minorHAnsi" w:hAnsiTheme="minorHAnsi" w:cstheme="minorHAnsi"/>
                <w:b/>
                <w:bCs/>
                <w:color w:val="000000"/>
                <w:sz w:val="20"/>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681AB3" w:rsidRPr="004109AA" w:rsidRDefault="004109AA" w:rsidP="00681AB3">
            <w:pPr>
              <w:rPr>
                <w:rFonts w:asciiTheme="minorHAnsi" w:hAnsiTheme="minorHAnsi" w:cstheme="minorHAnsi"/>
                <w:b/>
                <w:bCs/>
                <w:color w:val="000000"/>
                <w:sz w:val="20"/>
              </w:rPr>
            </w:pPr>
            <w:r w:rsidRPr="004109AA">
              <w:rPr>
                <w:rFonts w:asciiTheme="minorHAnsi" w:hAnsiTheme="minorHAnsi" w:cstheme="minorHAnsi"/>
                <w:b/>
                <w:bCs/>
                <w:color w:val="000000"/>
                <w:sz w:val="20"/>
              </w:rPr>
              <w:t>TOTALE DISPONIBILITA’ LIQUIDE</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681AB3" w:rsidRPr="004109AA" w:rsidRDefault="004109AA" w:rsidP="004109AA">
            <w:pPr>
              <w:jc w:val="right"/>
              <w:rPr>
                <w:rFonts w:asciiTheme="minorHAnsi" w:hAnsiTheme="minorHAnsi" w:cstheme="minorHAnsi"/>
                <w:b/>
                <w:bCs/>
                <w:color w:val="000000"/>
                <w:sz w:val="20"/>
              </w:rPr>
            </w:pPr>
            <w:r w:rsidRPr="004109AA">
              <w:rPr>
                <w:rFonts w:asciiTheme="minorHAnsi" w:hAnsiTheme="minorHAnsi" w:cstheme="minorHAnsi"/>
                <w:b/>
                <w:bCs/>
                <w:color w:val="000000"/>
                <w:sz w:val="20"/>
              </w:rPr>
              <w:t>202.997,10</w:t>
            </w:r>
          </w:p>
        </w:tc>
        <w:tc>
          <w:tcPr>
            <w:tcW w:w="1490" w:type="dxa"/>
            <w:tcBorders>
              <w:top w:val="single" w:sz="4" w:space="0" w:color="auto"/>
              <w:left w:val="single" w:sz="4" w:space="0" w:color="auto"/>
              <w:bottom w:val="single" w:sz="4" w:space="0" w:color="auto"/>
              <w:right w:val="single" w:sz="4" w:space="0" w:color="auto"/>
            </w:tcBorders>
            <w:shd w:val="clear" w:color="auto" w:fill="auto"/>
            <w:noWrap/>
          </w:tcPr>
          <w:p w:rsidR="00681AB3" w:rsidRPr="004109AA" w:rsidRDefault="004109AA" w:rsidP="004109AA">
            <w:pPr>
              <w:jc w:val="right"/>
              <w:rPr>
                <w:rFonts w:asciiTheme="minorHAnsi" w:hAnsiTheme="minorHAnsi" w:cstheme="minorHAnsi"/>
                <w:b/>
                <w:bCs/>
                <w:color w:val="000000"/>
                <w:sz w:val="20"/>
              </w:rPr>
            </w:pPr>
            <w:r w:rsidRPr="004109AA">
              <w:rPr>
                <w:rFonts w:asciiTheme="minorHAnsi" w:hAnsiTheme="minorHAnsi" w:cstheme="minorHAnsi"/>
                <w:b/>
                <w:bCs/>
                <w:color w:val="000000"/>
                <w:sz w:val="20"/>
              </w:rPr>
              <w:t>180.348,40</w:t>
            </w:r>
          </w:p>
        </w:tc>
      </w:tr>
    </w:tbl>
    <w:p w:rsidR="00681AB3" w:rsidRDefault="00681AB3" w:rsidP="00FD1C8A">
      <w:pPr>
        <w:jc w:val="both"/>
        <w:rPr>
          <w:rFonts w:asciiTheme="minorHAnsi" w:hAnsiTheme="minorHAnsi" w:cstheme="minorHAnsi"/>
        </w:rPr>
      </w:pPr>
    </w:p>
    <w:p w:rsidR="004109AA" w:rsidRDefault="004109AA">
      <w:pPr>
        <w:spacing w:after="160" w:line="259" w:lineRule="auto"/>
        <w:rPr>
          <w:rFonts w:asciiTheme="minorHAnsi" w:hAnsiTheme="minorHAnsi" w:cstheme="minorHAnsi"/>
        </w:rPr>
      </w:pPr>
      <w:r>
        <w:rPr>
          <w:rFonts w:asciiTheme="minorHAnsi" w:hAnsiTheme="minorHAnsi" w:cstheme="minorHAnsi"/>
        </w:rPr>
        <w:br w:type="page"/>
      </w:r>
    </w:p>
    <w:p w:rsidR="005F7CA9" w:rsidRPr="00C316B0" w:rsidRDefault="005F7CA9" w:rsidP="00FD1C8A">
      <w:pPr>
        <w:jc w:val="both"/>
        <w:rPr>
          <w:rFonts w:asciiTheme="minorHAnsi" w:hAnsiTheme="minorHAnsi" w:cstheme="minorHAnsi"/>
          <w:b/>
        </w:rPr>
      </w:pPr>
      <w:r w:rsidRPr="001767FC">
        <w:rPr>
          <w:rFonts w:asciiTheme="minorHAnsi" w:hAnsiTheme="minorHAnsi" w:cstheme="minorHAnsi"/>
          <w:b/>
        </w:rPr>
        <w:lastRenderedPageBreak/>
        <w:t>IL PATRIMONIO NETTO</w:t>
      </w:r>
    </w:p>
    <w:p w:rsidR="00BD174C" w:rsidRPr="00C316B0" w:rsidRDefault="00BD174C" w:rsidP="00FD1C8A">
      <w:pPr>
        <w:jc w:val="both"/>
        <w:rPr>
          <w:rFonts w:asciiTheme="minorHAnsi" w:hAnsiTheme="minorHAnsi" w:cstheme="minorHAnsi"/>
        </w:rPr>
      </w:pPr>
    </w:p>
    <w:p w:rsidR="00AF2D6D" w:rsidRPr="00C316B0" w:rsidRDefault="005F7CA9" w:rsidP="00FD1C8A">
      <w:pPr>
        <w:jc w:val="both"/>
        <w:rPr>
          <w:rFonts w:asciiTheme="minorHAnsi" w:hAnsiTheme="minorHAnsi" w:cstheme="minorHAnsi"/>
        </w:rPr>
      </w:pPr>
      <w:r w:rsidRPr="00C316B0">
        <w:rPr>
          <w:rFonts w:asciiTheme="minorHAnsi" w:hAnsiTheme="minorHAnsi" w:cstheme="minorHAnsi"/>
        </w:rPr>
        <w:t xml:space="preserve">Il Patrimonio Netto </w:t>
      </w:r>
      <w:r w:rsidR="00AF2D6D" w:rsidRPr="00C316B0">
        <w:rPr>
          <w:rFonts w:asciiTheme="minorHAnsi" w:hAnsiTheme="minorHAnsi" w:cstheme="minorHAnsi"/>
        </w:rPr>
        <w:t xml:space="preserve">si </w:t>
      </w:r>
      <w:r w:rsidR="00DC4B0D" w:rsidRPr="00C316B0">
        <w:rPr>
          <w:rFonts w:asciiTheme="minorHAnsi" w:hAnsiTheme="minorHAnsi" w:cstheme="minorHAnsi"/>
        </w:rPr>
        <w:t>incrementa</w:t>
      </w:r>
      <w:r w:rsidR="00AF2D6D" w:rsidRPr="00C316B0">
        <w:rPr>
          <w:rFonts w:asciiTheme="minorHAnsi" w:hAnsiTheme="minorHAnsi" w:cstheme="minorHAnsi"/>
        </w:rPr>
        <w:t xml:space="preserve"> per l</w:t>
      </w:r>
      <w:r w:rsidR="00DC4B0D" w:rsidRPr="00C316B0">
        <w:rPr>
          <w:rFonts w:asciiTheme="minorHAnsi" w:hAnsiTheme="minorHAnsi" w:cstheme="minorHAnsi"/>
        </w:rPr>
        <w:t>’utile</w:t>
      </w:r>
      <w:r w:rsidR="00AF2D6D" w:rsidRPr="00C316B0">
        <w:rPr>
          <w:rFonts w:asciiTheme="minorHAnsi" w:hAnsiTheme="minorHAnsi" w:cstheme="minorHAnsi"/>
        </w:rPr>
        <w:t xml:space="preserve"> d’esercizio pari a </w:t>
      </w:r>
      <w:r w:rsidR="00665285">
        <w:rPr>
          <w:rFonts w:asciiTheme="minorHAnsi" w:hAnsiTheme="minorHAnsi" w:cstheme="minorHAnsi"/>
        </w:rPr>
        <w:t>5.297,22</w:t>
      </w:r>
      <w:r w:rsidR="005F0142" w:rsidRPr="00C316B0">
        <w:rPr>
          <w:rFonts w:asciiTheme="minorHAnsi" w:hAnsiTheme="minorHAnsi" w:cstheme="minorHAnsi"/>
        </w:rPr>
        <w:t>.</w:t>
      </w:r>
    </w:p>
    <w:p w:rsidR="00726775" w:rsidRPr="00C316B0" w:rsidRDefault="00AF2D6D" w:rsidP="00FD1C8A">
      <w:pPr>
        <w:jc w:val="both"/>
        <w:rPr>
          <w:rFonts w:asciiTheme="minorHAnsi" w:hAnsiTheme="minorHAnsi" w:cstheme="minorHAnsi"/>
        </w:rPr>
      </w:pPr>
      <w:r w:rsidRPr="00C316B0">
        <w:rPr>
          <w:rFonts w:asciiTheme="minorHAnsi" w:hAnsiTheme="minorHAnsi" w:cstheme="minorHAnsi"/>
        </w:rPr>
        <w:t>Il Fondo di Dotazione</w:t>
      </w:r>
      <w:r w:rsidR="00794A33" w:rsidRPr="00C316B0">
        <w:rPr>
          <w:rFonts w:asciiTheme="minorHAnsi" w:hAnsiTheme="minorHAnsi" w:cstheme="minorHAnsi"/>
        </w:rPr>
        <w:t>, nel corso del 2018, aveva subìto</w:t>
      </w:r>
      <w:r w:rsidRPr="00C316B0">
        <w:rPr>
          <w:rFonts w:asciiTheme="minorHAnsi" w:hAnsiTheme="minorHAnsi" w:cstheme="minorHAnsi"/>
        </w:rPr>
        <w:t xml:space="preserve"> una pesante riduzione (da </w:t>
      </w:r>
      <w:r w:rsidR="001F466E">
        <w:rPr>
          <w:rFonts w:asciiTheme="minorHAnsi" w:hAnsiTheme="minorHAnsi" w:cstheme="minorHAnsi"/>
        </w:rPr>
        <w:t>695.840,97</w:t>
      </w:r>
      <w:r w:rsidRPr="00C316B0">
        <w:rPr>
          <w:rFonts w:asciiTheme="minorHAnsi" w:hAnsiTheme="minorHAnsi" w:cstheme="minorHAnsi"/>
        </w:rPr>
        <w:t xml:space="preserve"> del 201</w:t>
      </w:r>
      <w:r w:rsidR="00BB6331" w:rsidRPr="00C316B0">
        <w:rPr>
          <w:rFonts w:asciiTheme="minorHAnsi" w:hAnsiTheme="minorHAnsi" w:cstheme="minorHAnsi"/>
        </w:rPr>
        <w:t>7</w:t>
      </w:r>
      <w:r w:rsidRPr="00C316B0">
        <w:rPr>
          <w:rFonts w:asciiTheme="minorHAnsi" w:hAnsiTheme="minorHAnsi" w:cstheme="minorHAnsi"/>
        </w:rPr>
        <w:t xml:space="preserve"> </w:t>
      </w:r>
      <w:r w:rsidR="00DC4B0D" w:rsidRPr="00C316B0">
        <w:rPr>
          <w:rFonts w:asciiTheme="minorHAnsi" w:hAnsiTheme="minorHAnsi" w:cstheme="minorHAnsi"/>
        </w:rPr>
        <w:t>a</w:t>
      </w:r>
      <w:r w:rsidR="006A5AB6">
        <w:rPr>
          <w:rFonts w:asciiTheme="minorHAnsi" w:hAnsiTheme="minorHAnsi" w:cstheme="minorHAnsi"/>
        </w:rPr>
        <w:t xml:space="preserve">ll’importo del 2018 di € </w:t>
      </w:r>
      <w:r w:rsidR="001F466E">
        <w:rPr>
          <w:rFonts w:asciiTheme="minorHAnsi" w:hAnsiTheme="minorHAnsi" w:cstheme="minorHAnsi"/>
        </w:rPr>
        <w:t>51.376,64</w:t>
      </w:r>
      <w:r w:rsidR="006A5AB6">
        <w:rPr>
          <w:rFonts w:asciiTheme="minorHAnsi" w:hAnsiTheme="minorHAnsi" w:cstheme="minorHAnsi"/>
        </w:rPr>
        <w:t>)</w:t>
      </w:r>
      <w:r w:rsidRPr="00C316B0">
        <w:rPr>
          <w:rFonts w:asciiTheme="minorHAnsi" w:hAnsiTheme="minorHAnsi" w:cstheme="minorHAnsi"/>
        </w:rPr>
        <w:t xml:space="preserve">, </w:t>
      </w:r>
      <w:r w:rsidR="00794A33" w:rsidRPr="00C316B0">
        <w:rPr>
          <w:rFonts w:asciiTheme="minorHAnsi" w:hAnsiTheme="minorHAnsi" w:cstheme="minorHAnsi"/>
        </w:rPr>
        <w:t>a seguito dell’emanazione de</w:t>
      </w:r>
      <w:r w:rsidR="00877511" w:rsidRPr="00C316B0">
        <w:rPr>
          <w:rFonts w:asciiTheme="minorHAnsi" w:hAnsiTheme="minorHAnsi" w:cstheme="minorHAnsi"/>
        </w:rPr>
        <w:t xml:space="preserve">l 5° decreto di aggiornamento </w:t>
      </w:r>
      <w:r w:rsidR="00726775" w:rsidRPr="00C316B0">
        <w:rPr>
          <w:rFonts w:asciiTheme="minorHAnsi" w:hAnsiTheme="minorHAnsi" w:cstheme="minorHAnsi"/>
        </w:rPr>
        <w:t xml:space="preserve">dell’armonizzazione </w:t>
      </w:r>
      <w:r w:rsidR="00794A33" w:rsidRPr="00C316B0">
        <w:rPr>
          <w:rFonts w:asciiTheme="minorHAnsi" w:hAnsiTheme="minorHAnsi" w:cstheme="minorHAnsi"/>
        </w:rPr>
        <w:t xml:space="preserve">con il quale </w:t>
      </w:r>
      <w:r w:rsidR="00877511" w:rsidRPr="00C316B0">
        <w:rPr>
          <w:rFonts w:asciiTheme="minorHAnsi" w:hAnsiTheme="minorHAnsi" w:cstheme="minorHAnsi"/>
        </w:rPr>
        <w:t>sono state istituite le c.d. Riserve Indisponibili, che hanno lo scopo di rappresentare la quota del Patrimonio Netto “assorbita” dal patrimonio demaniale e/o indisponibile dell’Ente</w:t>
      </w:r>
      <w:r w:rsidR="00794A33" w:rsidRPr="00C316B0">
        <w:rPr>
          <w:rFonts w:asciiTheme="minorHAnsi" w:hAnsiTheme="minorHAnsi" w:cstheme="minorHAnsi"/>
        </w:rPr>
        <w:t>, che non rappresenta una garanzia per la copertura di perdite di esercizio o per l’assolvimento dei debiti dell’ente</w:t>
      </w:r>
      <w:r w:rsidR="00877511" w:rsidRPr="00C316B0">
        <w:rPr>
          <w:rFonts w:asciiTheme="minorHAnsi" w:hAnsiTheme="minorHAnsi" w:cstheme="minorHAnsi"/>
        </w:rPr>
        <w:t>.</w:t>
      </w:r>
      <w:r w:rsidR="000B26B1" w:rsidRPr="00C316B0">
        <w:rPr>
          <w:rFonts w:asciiTheme="minorHAnsi" w:hAnsiTheme="minorHAnsi" w:cstheme="minorHAnsi"/>
        </w:rPr>
        <w:t xml:space="preserve"> </w:t>
      </w:r>
    </w:p>
    <w:p w:rsidR="00877511" w:rsidRPr="00C316B0" w:rsidRDefault="000B26B1" w:rsidP="00FD1C8A">
      <w:pPr>
        <w:jc w:val="both"/>
        <w:rPr>
          <w:rFonts w:asciiTheme="minorHAnsi" w:hAnsiTheme="minorHAnsi" w:cstheme="minorHAnsi"/>
        </w:rPr>
      </w:pPr>
      <w:r w:rsidRPr="00C316B0">
        <w:rPr>
          <w:rFonts w:asciiTheme="minorHAnsi" w:hAnsiTheme="minorHAnsi" w:cstheme="minorHAnsi"/>
        </w:rPr>
        <w:t xml:space="preserve">Tale Riserva è stata costituita al 1/1 e </w:t>
      </w:r>
      <w:r w:rsidR="00726775" w:rsidRPr="00C316B0">
        <w:rPr>
          <w:rFonts w:asciiTheme="minorHAnsi" w:hAnsiTheme="minorHAnsi" w:cstheme="minorHAnsi"/>
        </w:rPr>
        <w:t>movimentata in gestione dell’esercizio 201</w:t>
      </w:r>
      <w:r w:rsidR="00794A33" w:rsidRPr="00C316B0">
        <w:rPr>
          <w:rFonts w:asciiTheme="minorHAnsi" w:hAnsiTheme="minorHAnsi" w:cstheme="minorHAnsi"/>
        </w:rPr>
        <w:t>8</w:t>
      </w:r>
      <w:r w:rsidR="00726775" w:rsidRPr="00C316B0">
        <w:rPr>
          <w:rFonts w:asciiTheme="minorHAnsi" w:hAnsiTheme="minorHAnsi" w:cstheme="minorHAnsi"/>
        </w:rPr>
        <w:t>, giungendo ad un valore al 31/12 pari a</w:t>
      </w:r>
      <w:r w:rsidRPr="00C316B0">
        <w:rPr>
          <w:rFonts w:asciiTheme="minorHAnsi" w:hAnsiTheme="minorHAnsi" w:cstheme="minorHAnsi"/>
        </w:rPr>
        <w:t xml:space="preserve"> euro </w:t>
      </w:r>
      <w:r w:rsidR="001767FC">
        <w:rPr>
          <w:rFonts w:asciiTheme="minorHAnsi" w:hAnsiTheme="minorHAnsi" w:cstheme="minorHAnsi"/>
        </w:rPr>
        <w:t>774.840,62</w:t>
      </w:r>
      <w:r w:rsidR="00726775" w:rsidRPr="00C316B0">
        <w:rPr>
          <w:rFonts w:asciiTheme="minorHAnsi" w:hAnsiTheme="minorHAnsi" w:cstheme="minorHAnsi"/>
        </w:rPr>
        <w:t>.</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Il dettaglio è rappresentato da:</w:t>
      </w:r>
    </w:p>
    <w:p w:rsidR="00BD174C" w:rsidRPr="00C316B0" w:rsidRDefault="00BD174C" w:rsidP="00FD1C8A">
      <w:pPr>
        <w:jc w:val="both"/>
        <w:rPr>
          <w:rFonts w:asciiTheme="minorHAnsi" w:hAnsiTheme="minorHAnsi" w:cstheme="minorHAnsi"/>
        </w:rPr>
      </w:pPr>
    </w:p>
    <w:p w:rsidR="00BB6331" w:rsidRPr="00C316B0" w:rsidRDefault="00BB6331" w:rsidP="00FD1C8A">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9"/>
        <w:gridCol w:w="3616"/>
        <w:gridCol w:w="1469"/>
        <w:gridCol w:w="1514"/>
      </w:tblGrid>
      <w:tr w:rsidR="00BB6331" w:rsidRPr="00337F42" w:rsidTr="005D4A49">
        <w:trPr>
          <w:trHeight w:val="255"/>
        </w:trPr>
        <w:tc>
          <w:tcPr>
            <w:tcW w:w="1626" w:type="pct"/>
            <w:shd w:val="clear" w:color="DDEBF7" w:fill="DDEBF7"/>
            <w:hideMark/>
          </w:tcPr>
          <w:p w:rsidR="00BB6331" w:rsidRPr="00337F42" w:rsidRDefault="00BB6331" w:rsidP="00337F42">
            <w:pPr>
              <w:rPr>
                <w:rFonts w:asciiTheme="minorHAnsi" w:hAnsiTheme="minorHAnsi" w:cstheme="minorHAnsi"/>
                <w:b/>
                <w:bCs/>
                <w:color w:val="000000"/>
                <w:sz w:val="20"/>
              </w:rPr>
            </w:pPr>
            <w:r w:rsidRPr="00337F42">
              <w:rPr>
                <w:rFonts w:asciiTheme="minorHAnsi" w:hAnsiTheme="minorHAnsi" w:cstheme="minorHAnsi"/>
                <w:b/>
                <w:bCs/>
                <w:color w:val="000000"/>
                <w:sz w:val="20"/>
              </w:rPr>
              <w:t>RIF_PROSPETTO</w:t>
            </w:r>
          </w:p>
        </w:tc>
        <w:tc>
          <w:tcPr>
            <w:tcW w:w="1849" w:type="pct"/>
            <w:shd w:val="clear" w:color="DDEBF7" w:fill="DDEBF7"/>
            <w:hideMark/>
          </w:tcPr>
          <w:p w:rsidR="00BB6331" w:rsidRPr="00337F42" w:rsidRDefault="00BB6331" w:rsidP="00337F42">
            <w:pPr>
              <w:rPr>
                <w:rFonts w:asciiTheme="minorHAnsi" w:hAnsiTheme="minorHAnsi" w:cstheme="minorHAnsi"/>
                <w:b/>
                <w:bCs/>
                <w:color w:val="000000"/>
                <w:sz w:val="20"/>
              </w:rPr>
            </w:pPr>
            <w:r w:rsidRPr="00337F42">
              <w:rPr>
                <w:rFonts w:asciiTheme="minorHAnsi" w:hAnsiTheme="minorHAnsi" w:cstheme="minorHAnsi"/>
                <w:b/>
                <w:bCs/>
                <w:color w:val="000000"/>
                <w:sz w:val="20"/>
              </w:rPr>
              <w:t>PIANO DEI CONTI</w:t>
            </w:r>
          </w:p>
        </w:tc>
        <w:tc>
          <w:tcPr>
            <w:tcW w:w="751" w:type="pct"/>
            <w:shd w:val="clear" w:color="DDEBF7" w:fill="DDEBF7"/>
            <w:noWrap/>
            <w:hideMark/>
          </w:tcPr>
          <w:p w:rsidR="00BB6331" w:rsidRPr="00337F42" w:rsidRDefault="00BB6331" w:rsidP="00337F42">
            <w:pPr>
              <w:jc w:val="right"/>
              <w:rPr>
                <w:rFonts w:asciiTheme="minorHAnsi" w:hAnsiTheme="minorHAnsi" w:cstheme="minorHAnsi"/>
                <w:b/>
                <w:bCs/>
                <w:color w:val="000000"/>
                <w:sz w:val="20"/>
              </w:rPr>
            </w:pPr>
            <w:r w:rsidRPr="00337F42">
              <w:rPr>
                <w:rFonts w:asciiTheme="minorHAnsi" w:hAnsiTheme="minorHAnsi" w:cstheme="minorHAnsi"/>
                <w:b/>
                <w:bCs/>
                <w:color w:val="000000"/>
                <w:sz w:val="20"/>
              </w:rPr>
              <w:t>2018</w:t>
            </w:r>
          </w:p>
        </w:tc>
        <w:tc>
          <w:tcPr>
            <w:tcW w:w="774" w:type="pct"/>
            <w:shd w:val="clear" w:color="DDEBF7" w:fill="DDEBF7"/>
            <w:noWrap/>
            <w:hideMark/>
          </w:tcPr>
          <w:p w:rsidR="00BB6331" w:rsidRPr="00337F42" w:rsidRDefault="00BB6331" w:rsidP="00337F42">
            <w:pPr>
              <w:jc w:val="right"/>
              <w:rPr>
                <w:rFonts w:asciiTheme="minorHAnsi" w:hAnsiTheme="minorHAnsi" w:cstheme="minorHAnsi"/>
                <w:b/>
                <w:bCs/>
                <w:color w:val="000000"/>
                <w:sz w:val="20"/>
              </w:rPr>
            </w:pPr>
            <w:r w:rsidRPr="00337F42">
              <w:rPr>
                <w:rFonts w:asciiTheme="minorHAnsi" w:hAnsiTheme="minorHAnsi" w:cstheme="minorHAnsi"/>
                <w:b/>
                <w:bCs/>
                <w:color w:val="000000"/>
                <w:sz w:val="20"/>
              </w:rPr>
              <w:t>2017</w:t>
            </w:r>
          </w:p>
        </w:tc>
      </w:tr>
      <w:tr w:rsidR="005D4A49" w:rsidRPr="005D4A49" w:rsidTr="005D4A49">
        <w:trPr>
          <w:trHeight w:val="255"/>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AI - Fondo di dotazione</w:t>
            </w:r>
          </w:p>
        </w:tc>
        <w:tc>
          <w:tcPr>
            <w:tcW w:w="1849"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2.1.1.02.01.01.001 - Fondo di dotazione</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1F466E">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w:t>
            </w:r>
            <w:r w:rsidR="001F466E">
              <w:rPr>
                <w:rFonts w:asciiTheme="minorHAnsi" w:hAnsiTheme="minorHAnsi" w:cstheme="minorHAnsi"/>
                <w:bCs/>
                <w:color w:val="000000"/>
                <w:sz w:val="20"/>
              </w:rPr>
              <w:t>51.376,64</w:t>
            </w:r>
            <w:r w:rsidRPr="005D4A49">
              <w:rPr>
                <w:rFonts w:asciiTheme="minorHAnsi" w:hAnsiTheme="minorHAnsi" w:cstheme="minorHAnsi"/>
                <w:bCs/>
                <w:color w:val="000000"/>
                <w:sz w:val="20"/>
              </w:rPr>
              <w:t xml:space="preserve"> </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1F466E">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w:t>
            </w:r>
            <w:r w:rsidR="001F466E">
              <w:rPr>
                <w:rFonts w:asciiTheme="minorHAnsi" w:hAnsiTheme="minorHAnsi" w:cstheme="minorHAnsi"/>
                <w:bCs/>
                <w:color w:val="000000"/>
                <w:sz w:val="20"/>
              </w:rPr>
              <w:t>695.840,97</w:t>
            </w:r>
            <w:r w:rsidRPr="005D4A49">
              <w:rPr>
                <w:rFonts w:asciiTheme="minorHAnsi" w:hAnsiTheme="minorHAnsi" w:cstheme="minorHAnsi"/>
                <w:bCs/>
                <w:color w:val="000000"/>
                <w:sz w:val="20"/>
              </w:rPr>
              <w:t xml:space="preserve"> </w:t>
            </w:r>
          </w:p>
        </w:tc>
      </w:tr>
      <w:tr w:rsidR="005D4A49" w:rsidRPr="005D4A49" w:rsidTr="005D4A49">
        <w:trPr>
          <w:trHeight w:val="255"/>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AIIb - da capitale</w:t>
            </w:r>
          </w:p>
        </w:tc>
        <w:tc>
          <w:tcPr>
            <w:tcW w:w="1849"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2.1.2.02.01.01.001 - Riserve da rivalutazione</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7.523,64 </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p>
        </w:tc>
      </w:tr>
      <w:tr w:rsidR="005D4A49" w:rsidRPr="005D4A49" w:rsidTr="005D4A49">
        <w:trPr>
          <w:trHeight w:val="255"/>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AIIc - da permessi di costruire</w:t>
            </w:r>
          </w:p>
        </w:tc>
        <w:tc>
          <w:tcPr>
            <w:tcW w:w="1849"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2.1.2.03.01.01.001 - Riserve da permessi di costruire</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   </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121.873,44 </w:t>
            </w:r>
          </w:p>
        </w:tc>
      </w:tr>
      <w:tr w:rsidR="005D4A49" w:rsidRPr="005D4A49" w:rsidTr="005D4A49">
        <w:trPr>
          <w:trHeight w:val="255"/>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AIId - riserve indisponibili per beni demaniali e patrimoniali indisponibili e per i beni culturali</w:t>
            </w:r>
          </w:p>
        </w:tc>
        <w:tc>
          <w:tcPr>
            <w:tcW w:w="1849"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2.1.2.04.02.01.001 - Riserve indisponibili per beni demaniali e patrimoniali indisponibili e per i beni culturali</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744.840,62 </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p>
        </w:tc>
      </w:tr>
      <w:tr w:rsidR="005D4A49" w:rsidRPr="005D4A49" w:rsidTr="005D4A49">
        <w:trPr>
          <w:trHeight w:val="255"/>
        </w:trPr>
        <w:tc>
          <w:tcPr>
            <w:tcW w:w="1626"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AIII - Risultato economico dell'esercizio</w:t>
            </w:r>
          </w:p>
        </w:tc>
        <w:tc>
          <w:tcPr>
            <w:tcW w:w="1849" w:type="pct"/>
            <w:tcBorders>
              <w:top w:val="single" w:sz="4" w:space="0" w:color="auto"/>
              <w:left w:val="single" w:sz="4" w:space="0" w:color="auto"/>
              <w:bottom w:val="single" w:sz="4" w:space="0" w:color="auto"/>
              <w:right w:val="single" w:sz="4" w:space="0" w:color="auto"/>
            </w:tcBorders>
            <w:shd w:val="clear" w:color="auto" w:fill="auto"/>
            <w:hideMark/>
          </w:tcPr>
          <w:p w:rsidR="005D4A49" w:rsidRPr="005D4A49" w:rsidRDefault="005D4A49" w:rsidP="005D4A49">
            <w:pPr>
              <w:rPr>
                <w:rFonts w:asciiTheme="minorHAnsi" w:hAnsiTheme="minorHAnsi" w:cstheme="minorHAnsi"/>
                <w:bCs/>
                <w:color w:val="000000"/>
                <w:sz w:val="20"/>
              </w:rPr>
            </w:pPr>
            <w:r w:rsidRPr="005D4A49">
              <w:rPr>
                <w:rFonts w:asciiTheme="minorHAnsi" w:hAnsiTheme="minorHAnsi" w:cstheme="minorHAnsi"/>
                <w:bCs/>
                <w:color w:val="000000"/>
                <w:sz w:val="20"/>
              </w:rPr>
              <w:t>2.1.4.01.01.01</w:t>
            </w:r>
            <w:r w:rsidR="001F466E">
              <w:rPr>
                <w:rFonts w:asciiTheme="minorHAnsi" w:hAnsiTheme="minorHAnsi" w:cstheme="minorHAnsi"/>
                <w:bCs/>
                <w:color w:val="000000"/>
                <w:sz w:val="20"/>
              </w:rPr>
              <w:t>.001 - Risultato economico dell’</w:t>
            </w:r>
            <w:r w:rsidRPr="005D4A49">
              <w:rPr>
                <w:rFonts w:asciiTheme="minorHAnsi" w:hAnsiTheme="minorHAnsi" w:cstheme="minorHAnsi"/>
                <w:bCs/>
                <w:color w:val="000000"/>
                <w:sz w:val="20"/>
              </w:rPr>
              <w:t>esercizio</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w:t>
            </w:r>
            <w:r w:rsidR="00665285">
              <w:rPr>
                <w:rFonts w:asciiTheme="minorHAnsi" w:hAnsiTheme="minorHAnsi" w:cstheme="minorHAnsi"/>
                <w:bCs/>
                <w:color w:val="000000"/>
                <w:sz w:val="20"/>
              </w:rPr>
              <w:t>5.297,22</w:t>
            </w:r>
            <w:r w:rsidRPr="005D4A49">
              <w:rPr>
                <w:rFonts w:asciiTheme="minorHAnsi" w:hAnsiTheme="minorHAnsi" w:cstheme="minorHAnsi"/>
                <w:bCs/>
                <w:color w:val="000000"/>
                <w:sz w:val="20"/>
              </w:rPr>
              <w:t xml:space="preserve"> </w:t>
            </w:r>
          </w:p>
        </w:tc>
        <w:tc>
          <w:tcPr>
            <w:tcW w:w="774" w:type="pct"/>
            <w:tcBorders>
              <w:top w:val="single" w:sz="4" w:space="0" w:color="auto"/>
              <w:left w:val="single" w:sz="4" w:space="0" w:color="auto"/>
              <w:bottom w:val="single" w:sz="4" w:space="0" w:color="auto"/>
              <w:right w:val="single" w:sz="4" w:space="0" w:color="auto"/>
            </w:tcBorders>
            <w:shd w:val="clear" w:color="auto" w:fill="auto"/>
            <w:noWrap/>
            <w:hideMark/>
          </w:tcPr>
          <w:p w:rsidR="005D4A49" w:rsidRPr="005D4A49" w:rsidRDefault="005D4A49" w:rsidP="005D4A49">
            <w:pPr>
              <w:jc w:val="right"/>
              <w:rPr>
                <w:rFonts w:asciiTheme="minorHAnsi" w:hAnsiTheme="minorHAnsi" w:cstheme="minorHAnsi"/>
                <w:bCs/>
                <w:color w:val="000000"/>
                <w:sz w:val="20"/>
              </w:rPr>
            </w:pPr>
            <w:r w:rsidRPr="005D4A49">
              <w:rPr>
                <w:rFonts w:asciiTheme="minorHAnsi" w:hAnsiTheme="minorHAnsi" w:cstheme="minorHAnsi"/>
                <w:bCs/>
                <w:color w:val="000000"/>
                <w:sz w:val="20"/>
              </w:rPr>
              <w:t xml:space="preserve">                      -   </w:t>
            </w:r>
          </w:p>
        </w:tc>
      </w:tr>
      <w:tr w:rsidR="00E02E71" w:rsidRPr="00E02E71" w:rsidTr="005D4A49">
        <w:trPr>
          <w:trHeight w:val="255"/>
        </w:trPr>
        <w:tc>
          <w:tcPr>
            <w:tcW w:w="1626" w:type="pct"/>
            <w:tcBorders>
              <w:top w:val="single" w:sz="4" w:space="0" w:color="auto"/>
              <w:left w:val="single" w:sz="4" w:space="0" w:color="auto"/>
              <w:bottom w:val="single" w:sz="4" w:space="0" w:color="auto"/>
              <w:right w:val="single" w:sz="4" w:space="0" w:color="auto"/>
            </w:tcBorders>
            <w:shd w:val="clear" w:color="auto" w:fill="auto"/>
          </w:tcPr>
          <w:p w:rsidR="00E02E71" w:rsidRPr="00E02E71" w:rsidRDefault="00E02E71" w:rsidP="001767FC">
            <w:pPr>
              <w:rPr>
                <w:rFonts w:asciiTheme="minorHAnsi" w:hAnsiTheme="minorHAnsi" w:cstheme="minorHAnsi"/>
                <w:b/>
                <w:bCs/>
                <w:color w:val="000000"/>
                <w:sz w:val="20"/>
              </w:rPr>
            </w:pPr>
          </w:p>
        </w:tc>
        <w:tc>
          <w:tcPr>
            <w:tcW w:w="1849" w:type="pct"/>
            <w:tcBorders>
              <w:top w:val="single" w:sz="4" w:space="0" w:color="auto"/>
              <w:left w:val="single" w:sz="4" w:space="0" w:color="auto"/>
              <w:bottom w:val="single" w:sz="4" w:space="0" w:color="auto"/>
              <w:right w:val="single" w:sz="4" w:space="0" w:color="auto"/>
            </w:tcBorders>
            <w:shd w:val="clear" w:color="auto" w:fill="auto"/>
          </w:tcPr>
          <w:p w:rsidR="00E02E71" w:rsidRPr="00E02E71" w:rsidRDefault="00E02E71" w:rsidP="001767FC">
            <w:pPr>
              <w:rPr>
                <w:rFonts w:asciiTheme="minorHAnsi" w:hAnsiTheme="minorHAnsi" w:cstheme="minorHAnsi"/>
                <w:b/>
                <w:bCs/>
                <w:color w:val="000000"/>
                <w:sz w:val="20"/>
              </w:rPr>
            </w:pPr>
            <w:r w:rsidRPr="00E02E71">
              <w:rPr>
                <w:rFonts w:asciiTheme="minorHAnsi" w:hAnsiTheme="minorHAnsi" w:cstheme="minorHAnsi"/>
                <w:b/>
                <w:bCs/>
                <w:color w:val="000000"/>
                <w:sz w:val="20"/>
              </w:rPr>
              <w:t>TOTALE PATRIMONIO NETTO</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rsidR="00E02E71" w:rsidRPr="00E02E71" w:rsidRDefault="00665285" w:rsidP="001767FC">
            <w:pPr>
              <w:jc w:val="right"/>
              <w:rPr>
                <w:rFonts w:asciiTheme="minorHAnsi" w:hAnsiTheme="minorHAnsi" w:cstheme="minorHAnsi"/>
                <w:b/>
                <w:bCs/>
                <w:color w:val="000000"/>
                <w:sz w:val="20"/>
              </w:rPr>
            </w:pPr>
            <w:r>
              <w:rPr>
                <w:rFonts w:asciiTheme="minorHAnsi" w:hAnsiTheme="minorHAnsi" w:cstheme="minorHAnsi"/>
                <w:b/>
                <w:bCs/>
                <w:color w:val="000000"/>
                <w:sz w:val="20"/>
              </w:rPr>
              <w:t>809.038,12</w:t>
            </w:r>
          </w:p>
        </w:tc>
        <w:tc>
          <w:tcPr>
            <w:tcW w:w="774" w:type="pct"/>
            <w:tcBorders>
              <w:top w:val="single" w:sz="4" w:space="0" w:color="auto"/>
              <w:left w:val="single" w:sz="4" w:space="0" w:color="auto"/>
              <w:bottom w:val="single" w:sz="4" w:space="0" w:color="auto"/>
              <w:right w:val="single" w:sz="4" w:space="0" w:color="auto"/>
            </w:tcBorders>
            <w:shd w:val="clear" w:color="auto" w:fill="auto"/>
            <w:noWrap/>
          </w:tcPr>
          <w:p w:rsidR="00E02E71" w:rsidRPr="00E02E71" w:rsidRDefault="001F466E" w:rsidP="001767FC">
            <w:pPr>
              <w:jc w:val="right"/>
              <w:rPr>
                <w:rFonts w:asciiTheme="minorHAnsi" w:hAnsiTheme="minorHAnsi" w:cstheme="minorHAnsi"/>
                <w:b/>
                <w:bCs/>
                <w:color w:val="000000"/>
                <w:sz w:val="20"/>
              </w:rPr>
            </w:pPr>
            <w:r>
              <w:rPr>
                <w:rFonts w:asciiTheme="minorHAnsi" w:hAnsiTheme="minorHAnsi" w:cstheme="minorHAnsi"/>
                <w:b/>
                <w:bCs/>
                <w:color w:val="000000"/>
                <w:sz w:val="20"/>
              </w:rPr>
              <w:t>817.714,41</w:t>
            </w:r>
          </w:p>
        </w:tc>
      </w:tr>
    </w:tbl>
    <w:p w:rsidR="00BB6331" w:rsidRDefault="00BB6331" w:rsidP="00FD1C8A">
      <w:pPr>
        <w:jc w:val="both"/>
        <w:rPr>
          <w:rFonts w:asciiTheme="minorHAnsi" w:hAnsiTheme="minorHAnsi" w:cstheme="minorHAnsi"/>
        </w:rPr>
      </w:pPr>
    </w:p>
    <w:p w:rsidR="001767FC" w:rsidRDefault="001767FC" w:rsidP="00FD1C8A">
      <w:pPr>
        <w:jc w:val="both"/>
        <w:rPr>
          <w:rFonts w:asciiTheme="minorHAnsi" w:hAnsiTheme="minorHAnsi" w:cstheme="minorHAnsi"/>
        </w:rPr>
      </w:pPr>
    </w:p>
    <w:p w:rsidR="001767FC" w:rsidRDefault="001767FC" w:rsidP="00FD1C8A">
      <w:pPr>
        <w:jc w:val="both"/>
        <w:rPr>
          <w:rFonts w:asciiTheme="minorHAnsi" w:hAnsiTheme="minorHAnsi" w:cstheme="minorHAnsi"/>
        </w:rPr>
      </w:pPr>
    </w:p>
    <w:p w:rsidR="001767FC" w:rsidRDefault="001767FC" w:rsidP="00FD1C8A">
      <w:pPr>
        <w:jc w:val="both"/>
        <w:rPr>
          <w:rFonts w:asciiTheme="minorHAnsi" w:hAnsiTheme="minorHAnsi" w:cstheme="minorHAnsi"/>
        </w:rPr>
      </w:pPr>
    </w:p>
    <w:p w:rsidR="001767FC" w:rsidRPr="00C316B0" w:rsidRDefault="001767FC" w:rsidP="00FD1C8A">
      <w:pPr>
        <w:jc w:val="both"/>
        <w:rPr>
          <w:rFonts w:asciiTheme="minorHAnsi" w:hAnsiTheme="minorHAnsi" w:cstheme="minorHAnsi"/>
        </w:rPr>
      </w:pPr>
    </w:p>
    <w:p w:rsidR="00E14A2F" w:rsidRPr="00C316B0" w:rsidRDefault="00E14A2F" w:rsidP="00FD1C8A">
      <w:pPr>
        <w:jc w:val="both"/>
        <w:rPr>
          <w:rFonts w:asciiTheme="minorHAnsi" w:hAnsiTheme="minorHAnsi" w:cstheme="minorHAnsi"/>
          <w:b/>
        </w:rPr>
      </w:pPr>
    </w:p>
    <w:p w:rsidR="00350173" w:rsidRPr="00C316B0" w:rsidRDefault="00350173" w:rsidP="00FD1C8A">
      <w:pPr>
        <w:jc w:val="both"/>
        <w:rPr>
          <w:rFonts w:asciiTheme="minorHAnsi" w:hAnsiTheme="minorHAnsi" w:cstheme="minorHAnsi"/>
          <w:b/>
        </w:rPr>
      </w:pPr>
      <w:r w:rsidRPr="00C316B0">
        <w:rPr>
          <w:rFonts w:asciiTheme="minorHAnsi" w:hAnsiTheme="minorHAnsi" w:cstheme="minorHAnsi"/>
          <w:b/>
        </w:rPr>
        <w:t>FONDI</w:t>
      </w:r>
    </w:p>
    <w:p w:rsidR="00350173" w:rsidRPr="00C316B0" w:rsidRDefault="00350173" w:rsidP="00FD1C8A">
      <w:pPr>
        <w:jc w:val="both"/>
        <w:rPr>
          <w:rFonts w:asciiTheme="minorHAnsi" w:hAnsiTheme="minorHAnsi" w:cstheme="minorHAnsi"/>
        </w:rPr>
      </w:pPr>
      <w:r w:rsidRPr="00C316B0">
        <w:rPr>
          <w:rFonts w:asciiTheme="minorHAnsi" w:hAnsiTheme="minorHAnsi" w:cstheme="minorHAnsi"/>
        </w:rPr>
        <w:t xml:space="preserve">Sono tati accantonati Fondi per Rischi e Oneri per un importo pari ad € </w:t>
      </w:r>
      <w:r w:rsidR="00E02E71">
        <w:rPr>
          <w:rFonts w:asciiTheme="minorHAnsi" w:hAnsiTheme="minorHAnsi" w:cstheme="minorHAnsi"/>
        </w:rPr>
        <w:t>7.100,00</w:t>
      </w:r>
      <w:r w:rsidR="00A67F41">
        <w:rPr>
          <w:rFonts w:asciiTheme="minorHAnsi" w:hAnsiTheme="minorHAnsi" w:cstheme="minorHAnsi"/>
        </w:rPr>
        <w:t>.</w:t>
      </w:r>
    </w:p>
    <w:p w:rsidR="00350173" w:rsidRPr="00C316B0" w:rsidRDefault="00350173" w:rsidP="00FD1C8A">
      <w:pPr>
        <w:jc w:val="both"/>
        <w:rPr>
          <w:rFonts w:asciiTheme="minorHAnsi" w:hAnsiTheme="minorHAnsi" w:cstheme="minorHAnsi"/>
        </w:rPr>
      </w:pPr>
    </w:p>
    <w:p w:rsidR="004C4D06" w:rsidRDefault="004C4D06">
      <w:pPr>
        <w:spacing w:after="160" w:line="259" w:lineRule="auto"/>
        <w:rPr>
          <w:rFonts w:asciiTheme="minorHAnsi" w:hAnsiTheme="minorHAnsi" w:cstheme="minorHAnsi"/>
        </w:rPr>
      </w:pPr>
      <w:r>
        <w:rPr>
          <w:rFonts w:asciiTheme="minorHAnsi" w:hAnsiTheme="minorHAnsi" w:cstheme="minorHAnsi"/>
        </w:rPr>
        <w:br w:type="page"/>
      </w: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lastRenderedPageBreak/>
        <w:t>DEBITI DI FINANZIAMENTO</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 xml:space="preserve">I debiti di finanziamento iscritti nel passivo dello Stato Patrimoniale coincidono con il valore residuo dei Mutui Passivi contratti con la Cassa Depositi </w:t>
      </w:r>
      <w:r w:rsidR="00794A33" w:rsidRPr="00C316B0">
        <w:rPr>
          <w:rFonts w:asciiTheme="minorHAnsi" w:hAnsiTheme="minorHAnsi" w:cstheme="minorHAnsi"/>
        </w:rPr>
        <w:t xml:space="preserve">o altri istituti finanziatori ancora </w:t>
      </w:r>
      <w:r w:rsidR="00D714E5" w:rsidRPr="00C316B0">
        <w:rPr>
          <w:rFonts w:asciiTheme="minorHAnsi" w:hAnsiTheme="minorHAnsi" w:cstheme="minorHAnsi"/>
        </w:rPr>
        <w:t>in essere.</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Il dettaglio è rappresentato dalla seguente tabella:</w:t>
      </w:r>
    </w:p>
    <w:p w:rsidR="00BD174C" w:rsidRPr="00C316B0" w:rsidRDefault="00BD174C" w:rsidP="00FD1C8A">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2"/>
        <w:gridCol w:w="4779"/>
        <w:gridCol w:w="1584"/>
        <w:gridCol w:w="1633"/>
      </w:tblGrid>
      <w:tr w:rsidR="00E14A2F" w:rsidRPr="00C316B0" w:rsidTr="00E02E71">
        <w:trPr>
          <w:trHeight w:val="255"/>
        </w:trPr>
        <w:tc>
          <w:tcPr>
            <w:tcW w:w="911" w:type="pct"/>
            <w:shd w:val="clear" w:color="DDEBF7" w:fill="DDEBF7"/>
            <w:vAlign w:val="bottom"/>
            <w:hideMark/>
          </w:tcPr>
          <w:p w:rsidR="00E14A2F" w:rsidRPr="00C316B0" w:rsidRDefault="00E14A2F" w:rsidP="00FD1C8A">
            <w:pPr>
              <w:jc w:val="both"/>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444" w:type="pct"/>
            <w:shd w:val="clear" w:color="DDEBF7" w:fill="DDEBF7"/>
            <w:vAlign w:val="bottom"/>
            <w:hideMark/>
          </w:tcPr>
          <w:p w:rsidR="00E14A2F" w:rsidRPr="00C316B0" w:rsidRDefault="00E14A2F" w:rsidP="00FD1C8A">
            <w:pPr>
              <w:jc w:val="both"/>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810" w:type="pct"/>
            <w:shd w:val="clear" w:color="DDEBF7" w:fill="DDEBF7"/>
            <w:noWrap/>
            <w:vAlign w:val="bottom"/>
            <w:hideMark/>
          </w:tcPr>
          <w:p w:rsidR="00E14A2F" w:rsidRPr="00C316B0" w:rsidRDefault="00E14A2F" w:rsidP="00FD1C8A">
            <w:pPr>
              <w:jc w:val="both"/>
              <w:rPr>
                <w:rFonts w:asciiTheme="minorHAnsi" w:hAnsiTheme="minorHAnsi" w:cstheme="minorHAnsi"/>
                <w:b/>
                <w:bCs/>
                <w:color w:val="000000"/>
              </w:rPr>
            </w:pPr>
            <w:r w:rsidRPr="00C316B0">
              <w:rPr>
                <w:rFonts w:asciiTheme="minorHAnsi" w:hAnsiTheme="minorHAnsi" w:cstheme="minorHAnsi"/>
                <w:b/>
                <w:bCs/>
                <w:color w:val="000000"/>
              </w:rPr>
              <w:t>2018</w:t>
            </w:r>
          </w:p>
        </w:tc>
        <w:tc>
          <w:tcPr>
            <w:tcW w:w="835" w:type="pct"/>
            <w:shd w:val="clear" w:color="DDEBF7" w:fill="DDEBF7"/>
            <w:noWrap/>
            <w:vAlign w:val="bottom"/>
            <w:hideMark/>
          </w:tcPr>
          <w:p w:rsidR="00E14A2F" w:rsidRPr="00C316B0" w:rsidRDefault="00E14A2F" w:rsidP="00FD1C8A">
            <w:pPr>
              <w:jc w:val="both"/>
              <w:rPr>
                <w:rFonts w:asciiTheme="minorHAnsi" w:hAnsiTheme="minorHAnsi" w:cstheme="minorHAnsi"/>
                <w:b/>
                <w:bCs/>
                <w:color w:val="000000"/>
              </w:rPr>
            </w:pPr>
            <w:r w:rsidRPr="00C316B0">
              <w:rPr>
                <w:rFonts w:asciiTheme="minorHAnsi" w:hAnsiTheme="minorHAnsi" w:cstheme="minorHAnsi"/>
                <w:b/>
                <w:bCs/>
                <w:color w:val="000000"/>
              </w:rPr>
              <w:t>2017</w:t>
            </w:r>
          </w:p>
        </w:tc>
      </w:tr>
      <w:tr w:rsidR="00E14A2F" w:rsidRPr="00C316B0" w:rsidTr="00E02E71">
        <w:trPr>
          <w:trHeight w:val="255"/>
        </w:trPr>
        <w:tc>
          <w:tcPr>
            <w:tcW w:w="911" w:type="pct"/>
            <w:shd w:val="clear" w:color="auto" w:fill="auto"/>
            <w:vAlign w:val="bottom"/>
          </w:tcPr>
          <w:p w:rsidR="00E14A2F" w:rsidRPr="00C316B0" w:rsidRDefault="00E14A2F" w:rsidP="00FD1C8A">
            <w:pPr>
              <w:jc w:val="both"/>
              <w:rPr>
                <w:rFonts w:asciiTheme="minorHAnsi" w:hAnsiTheme="minorHAnsi" w:cstheme="minorHAnsi"/>
                <w:b/>
                <w:bCs/>
                <w:color w:val="000000"/>
              </w:rPr>
            </w:pPr>
          </w:p>
        </w:tc>
        <w:tc>
          <w:tcPr>
            <w:tcW w:w="2444" w:type="pct"/>
            <w:shd w:val="clear" w:color="auto" w:fill="auto"/>
            <w:vAlign w:val="bottom"/>
          </w:tcPr>
          <w:p w:rsidR="00E14A2F" w:rsidRPr="00C316B0" w:rsidRDefault="00E14A2F" w:rsidP="00FD1C8A">
            <w:pPr>
              <w:jc w:val="both"/>
              <w:rPr>
                <w:rFonts w:asciiTheme="minorHAnsi" w:hAnsiTheme="minorHAnsi" w:cstheme="minorHAnsi"/>
              </w:rPr>
            </w:pPr>
          </w:p>
        </w:tc>
        <w:tc>
          <w:tcPr>
            <w:tcW w:w="810" w:type="pct"/>
            <w:shd w:val="clear" w:color="auto" w:fill="auto"/>
            <w:noWrap/>
            <w:vAlign w:val="bottom"/>
          </w:tcPr>
          <w:p w:rsidR="00E14A2F" w:rsidRPr="00C316B0" w:rsidRDefault="00E14A2F" w:rsidP="00FD1C8A">
            <w:pPr>
              <w:jc w:val="both"/>
              <w:rPr>
                <w:rFonts w:asciiTheme="minorHAnsi" w:hAnsiTheme="minorHAnsi" w:cstheme="minorHAnsi"/>
              </w:rPr>
            </w:pPr>
          </w:p>
        </w:tc>
        <w:tc>
          <w:tcPr>
            <w:tcW w:w="835" w:type="pct"/>
            <w:shd w:val="clear" w:color="auto" w:fill="auto"/>
            <w:noWrap/>
            <w:vAlign w:val="bottom"/>
          </w:tcPr>
          <w:p w:rsidR="00E14A2F" w:rsidRPr="00C316B0" w:rsidRDefault="00E14A2F" w:rsidP="00FD1C8A">
            <w:pPr>
              <w:jc w:val="both"/>
              <w:rPr>
                <w:rFonts w:asciiTheme="minorHAnsi" w:hAnsiTheme="minorHAnsi" w:cstheme="minorHAnsi"/>
              </w:rPr>
            </w:pPr>
          </w:p>
        </w:tc>
      </w:tr>
      <w:tr w:rsidR="001E1050" w:rsidRPr="001E1050" w:rsidTr="00E02E71">
        <w:trPr>
          <w:trHeight w:val="255"/>
        </w:trPr>
        <w:tc>
          <w:tcPr>
            <w:tcW w:w="911" w:type="pct"/>
            <w:tcBorders>
              <w:top w:val="single" w:sz="4" w:space="0" w:color="auto"/>
              <w:left w:val="single" w:sz="4" w:space="0" w:color="auto"/>
              <w:bottom w:val="single" w:sz="4" w:space="0" w:color="auto"/>
              <w:right w:val="single" w:sz="4" w:space="0" w:color="auto"/>
            </w:tcBorders>
            <w:shd w:val="clear" w:color="auto" w:fill="auto"/>
          </w:tcPr>
          <w:p w:rsidR="001E1050" w:rsidRPr="001E1050" w:rsidRDefault="001E1050" w:rsidP="001E1050">
            <w:pPr>
              <w:rPr>
                <w:rFonts w:asciiTheme="minorHAnsi" w:hAnsiTheme="minorHAnsi" w:cstheme="minorHAnsi"/>
                <w:b/>
                <w:bCs/>
                <w:color w:val="000000"/>
              </w:rPr>
            </w:pPr>
          </w:p>
        </w:tc>
        <w:tc>
          <w:tcPr>
            <w:tcW w:w="2444" w:type="pct"/>
            <w:tcBorders>
              <w:top w:val="single" w:sz="4" w:space="0" w:color="auto"/>
              <w:left w:val="single" w:sz="4" w:space="0" w:color="auto"/>
              <w:bottom w:val="single" w:sz="4" w:space="0" w:color="auto"/>
              <w:right w:val="single" w:sz="4" w:space="0" w:color="auto"/>
            </w:tcBorders>
            <w:shd w:val="clear" w:color="auto" w:fill="auto"/>
          </w:tcPr>
          <w:p w:rsidR="001E1050" w:rsidRPr="001E1050" w:rsidRDefault="001E1050" w:rsidP="001E1050">
            <w:pPr>
              <w:rPr>
                <w:rFonts w:asciiTheme="minorHAnsi" w:hAnsiTheme="minorHAnsi" w:cstheme="minorHAnsi"/>
                <w:b/>
              </w:rPr>
            </w:pPr>
            <w:r w:rsidRPr="001E1050">
              <w:rPr>
                <w:rFonts w:asciiTheme="minorHAnsi" w:hAnsiTheme="minorHAnsi" w:cstheme="minorHAnsi"/>
                <w:b/>
                <w:sz w:val="22"/>
              </w:rPr>
              <w:t>TOTALE DEBITI DI FINANZIAMENTO</w:t>
            </w:r>
          </w:p>
        </w:tc>
        <w:tc>
          <w:tcPr>
            <w:tcW w:w="810" w:type="pct"/>
            <w:tcBorders>
              <w:top w:val="single" w:sz="4" w:space="0" w:color="auto"/>
              <w:left w:val="single" w:sz="4" w:space="0" w:color="auto"/>
              <w:bottom w:val="single" w:sz="4" w:space="0" w:color="auto"/>
              <w:right w:val="single" w:sz="4" w:space="0" w:color="auto"/>
            </w:tcBorders>
            <w:shd w:val="clear" w:color="auto" w:fill="auto"/>
            <w:noWrap/>
          </w:tcPr>
          <w:p w:rsidR="001E1050" w:rsidRPr="001E1050" w:rsidRDefault="001F466E" w:rsidP="006309E3">
            <w:pPr>
              <w:jc w:val="right"/>
              <w:rPr>
                <w:rFonts w:asciiTheme="minorHAnsi" w:hAnsiTheme="minorHAnsi" w:cstheme="minorHAnsi"/>
                <w:b/>
              </w:rPr>
            </w:pPr>
            <w:r>
              <w:rPr>
                <w:rFonts w:asciiTheme="minorHAnsi" w:hAnsiTheme="minorHAnsi" w:cstheme="minorHAnsi"/>
                <w:b/>
                <w:sz w:val="22"/>
              </w:rPr>
              <w:t>121.87</w:t>
            </w:r>
            <w:r w:rsidR="006309E3">
              <w:rPr>
                <w:rFonts w:asciiTheme="minorHAnsi" w:hAnsiTheme="minorHAnsi" w:cstheme="minorHAnsi"/>
                <w:b/>
                <w:sz w:val="22"/>
              </w:rPr>
              <w:t>9</w:t>
            </w:r>
            <w:r>
              <w:rPr>
                <w:rFonts w:asciiTheme="minorHAnsi" w:hAnsiTheme="minorHAnsi" w:cstheme="minorHAnsi"/>
                <w:b/>
                <w:sz w:val="22"/>
              </w:rPr>
              <w:t>,4</w:t>
            </w:r>
            <w:r w:rsidR="006309E3">
              <w:rPr>
                <w:rFonts w:asciiTheme="minorHAnsi" w:hAnsiTheme="minorHAnsi" w:cstheme="minorHAnsi"/>
                <w:b/>
                <w:sz w:val="22"/>
              </w:rPr>
              <w:t>2</w:t>
            </w:r>
          </w:p>
        </w:tc>
        <w:tc>
          <w:tcPr>
            <w:tcW w:w="835" w:type="pct"/>
            <w:tcBorders>
              <w:top w:val="single" w:sz="4" w:space="0" w:color="auto"/>
              <w:left w:val="single" w:sz="4" w:space="0" w:color="auto"/>
              <w:bottom w:val="single" w:sz="4" w:space="0" w:color="auto"/>
              <w:right w:val="single" w:sz="4" w:space="0" w:color="auto"/>
            </w:tcBorders>
            <w:shd w:val="clear" w:color="auto" w:fill="auto"/>
            <w:noWrap/>
          </w:tcPr>
          <w:p w:rsidR="001E1050" w:rsidRPr="001E1050" w:rsidRDefault="001F466E" w:rsidP="006309E3">
            <w:pPr>
              <w:jc w:val="right"/>
              <w:rPr>
                <w:rFonts w:asciiTheme="minorHAnsi" w:hAnsiTheme="minorHAnsi" w:cstheme="minorHAnsi"/>
                <w:b/>
              </w:rPr>
            </w:pPr>
            <w:r>
              <w:rPr>
                <w:rFonts w:asciiTheme="minorHAnsi" w:hAnsiTheme="minorHAnsi" w:cstheme="minorHAnsi"/>
                <w:b/>
                <w:sz w:val="22"/>
              </w:rPr>
              <w:t>121.87</w:t>
            </w:r>
            <w:r w:rsidR="006309E3">
              <w:rPr>
                <w:rFonts w:asciiTheme="minorHAnsi" w:hAnsiTheme="minorHAnsi" w:cstheme="minorHAnsi"/>
                <w:b/>
                <w:sz w:val="22"/>
              </w:rPr>
              <w:t>9</w:t>
            </w:r>
            <w:r>
              <w:rPr>
                <w:rFonts w:asciiTheme="minorHAnsi" w:hAnsiTheme="minorHAnsi" w:cstheme="minorHAnsi"/>
                <w:b/>
                <w:sz w:val="22"/>
              </w:rPr>
              <w:t>,4</w:t>
            </w:r>
            <w:r w:rsidR="006309E3">
              <w:rPr>
                <w:rFonts w:asciiTheme="minorHAnsi" w:hAnsiTheme="minorHAnsi" w:cstheme="minorHAnsi"/>
                <w:b/>
                <w:sz w:val="22"/>
              </w:rPr>
              <w:t>2</w:t>
            </w:r>
          </w:p>
        </w:tc>
      </w:tr>
    </w:tbl>
    <w:p w:rsidR="00E14A2F" w:rsidRPr="00C316B0" w:rsidRDefault="00E14A2F" w:rsidP="00FD1C8A">
      <w:pPr>
        <w:jc w:val="both"/>
        <w:rPr>
          <w:rFonts w:asciiTheme="minorHAnsi" w:hAnsiTheme="minorHAnsi" w:cstheme="minorHAnsi"/>
        </w:rPr>
      </w:pPr>
    </w:p>
    <w:p w:rsidR="00E14A2F" w:rsidRPr="00C316B0" w:rsidRDefault="00E14A2F" w:rsidP="00FD1C8A">
      <w:pPr>
        <w:jc w:val="both"/>
        <w:rPr>
          <w:rFonts w:asciiTheme="minorHAnsi" w:hAnsiTheme="minorHAnsi" w:cstheme="minorHAnsi"/>
          <w:b/>
        </w:rPr>
      </w:pPr>
    </w:p>
    <w:p w:rsidR="00E14A2F" w:rsidRPr="00C316B0" w:rsidRDefault="00E14A2F" w:rsidP="00FD1C8A">
      <w:pPr>
        <w:jc w:val="both"/>
        <w:rPr>
          <w:rFonts w:asciiTheme="minorHAnsi" w:hAnsiTheme="minorHAnsi" w:cstheme="minorHAnsi"/>
          <w:b/>
        </w:rPr>
      </w:pP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t>I DEBITI DI FUNZIONAMENTO</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Sono iscritti a Stato Patrimoniale tutti i debiti</w:t>
      </w:r>
      <w:r w:rsidR="00794A33" w:rsidRPr="00C316B0">
        <w:rPr>
          <w:rFonts w:asciiTheme="minorHAnsi" w:hAnsiTheme="minorHAnsi" w:cstheme="minorHAnsi"/>
        </w:rPr>
        <w:t xml:space="preserve"> effettivamente esigibili dell’ente</w:t>
      </w:r>
      <w:r w:rsidRPr="00C316B0">
        <w:rPr>
          <w:rFonts w:asciiTheme="minorHAnsi" w:hAnsiTheme="minorHAnsi" w:cstheme="minorHAnsi"/>
        </w:rPr>
        <w:t xml:space="preserve">, ancorché presunti, </w:t>
      </w:r>
      <w:r w:rsidR="00794A33" w:rsidRPr="00C316B0">
        <w:rPr>
          <w:rFonts w:asciiTheme="minorHAnsi" w:hAnsiTheme="minorHAnsi" w:cstheme="minorHAnsi"/>
        </w:rPr>
        <w:t>il cui</w:t>
      </w:r>
      <w:r w:rsidRPr="00C316B0">
        <w:rPr>
          <w:rFonts w:asciiTheme="minorHAnsi" w:hAnsiTheme="minorHAnsi" w:cstheme="minorHAnsi"/>
        </w:rPr>
        <w:t xml:space="preserve"> valore coincide </w:t>
      </w:r>
      <w:r w:rsidR="00794A33" w:rsidRPr="00C316B0">
        <w:rPr>
          <w:rFonts w:asciiTheme="minorHAnsi" w:hAnsiTheme="minorHAnsi" w:cstheme="minorHAnsi"/>
        </w:rPr>
        <w:t xml:space="preserve">con </w:t>
      </w:r>
      <w:r w:rsidRPr="00C316B0">
        <w:rPr>
          <w:rFonts w:asciiTheme="minorHAnsi" w:hAnsiTheme="minorHAnsi" w:cstheme="minorHAnsi"/>
        </w:rPr>
        <w:t>l’importo dei residui passivi risultante dal conto di bilancio</w:t>
      </w:r>
      <w:r w:rsidR="00794A33" w:rsidRPr="00C316B0">
        <w:rPr>
          <w:rFonts w:asciiTheme="minorHAnsi" w:hAnsiTheme="minorHAnsi" w:cstheme="minorHAnsi"/>
        </w:rPr>
        <w:t>, a cui si aggiungono rettifiche quali i debiti fuori bilancio rateizzati, i debiti IVA, etc.</w:t>
      </w:r>
    </w:p>
    <w:p w:rsidR="00BD174C" w:rsidRPr="00C316B0" w:rsidRDefault="00BD174C" w:rsidP="00FD1C8A">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0"/>
        <w:gridCol w:w="5128"/>
        <w:gridCol w:w="1388"/>
        <w:gridCol w:w="1482"/>
      </w:tblGrid>
      <w:tr w:rsidR="001F7E32" w:rsidRPr="00C316B0" w:rsidTr="00932576">
        <w:trPr>
          <w:trHeight w:val="255"/>
        </w:trPr>
        <w:tc>
          <w:tcPr>
            <w:tcW w:w="910" w:type="pct"/>
            <w:shd w:val="clear" w:color="DDEBF7" w:fill="DDEBF7"/>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622" w:type="pct"/>
            <w:shd w:val="clear" w:color="DDEBF7" w:fill="DDEBF7"/>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710" w:type="pct"/>
            <w:shd w:val="clear" w:color="DDEBF7" w:fill="DDEBF7"/>
            <w:noWrap/>
            <w:hideMark/>
          </w:tcPr>
          <w:p w:rsidR="001F7E32" w:rsidRPr="00C316B0" w:rsidRDefault="001F7E32" w:rsidP="00932576">
            <w:pPr>
              <w:jc w:val="right"/>
              <w:rPr>
                <w:rFonts w:asciiTheme="minorHAnsi" w:hAnsiTheme="minorHAnsi" w:cstheme="minorHAnsi"/>
                <w:b/>
                <w:bCs/>
                <w:color w:val="000000"/>
              </w:rPr>
            </w:pPr>
            <w:r w:rsidRPr="00C316B0">
              <w:rPr>
                <w:rFonts w:asciiTheme="minorHAnsi" w:hAnsiTheme="minorHAnsi" w:cstheme="minorHAnsi"/>
                <w:b/>
                <w:bCs/>
                <w:color w:val="000000"/>
              </w:rPr>
              <w:t>2018</w:t>
            </w:r>
          </w:p>
        </w:tc>
        <w:tc>
          <w:tcPr>
            <w:tcW w:w="758" w:type="pct"/>
            <w:shd w:val="clear" w:color="DDEBF7" w:fill="DDEBF7"/>
            <w:noWrap/>
            <w:hideMark/>
          </w:tcPr>
          <w:p w:rsidR="001F7E32" w:rsidRPr="00C316B0" w:rsidRDefault="001F7E32" w:rsidP="00932576">
            <w:pPr>
              <w:jc w:val="right"/>
              <w:rPr>
                <w:rFonts w:asciiTheme="minorHAnsi" w:hAnsiTheme="minorHAnsi" w:cstheme="minorHAnsi"/>
                <w:b/>
                <w:bCs/>
                <w:color w:val="000000"/>
              </w:rPr>
            </w:pPr>
            <w:r w:rsidRPr="00C316B0">
              <w:rPr>
                <w:rFonts w:asciiTheme="minorHAnsi" w:hAnsiTheme="minorHAnsi" w:cstheme="minorHAnsi"/>
                <w:b/>
                <w:bCs/>
                <w:color w:val="000000"/>
              </w:rPr>
              <w:t>2017</w:t>
            </w:r>
          </w:p>
        </w:tc>
      </w:tr>
      <w:tr w:rsidR="001F7E32" w:rsidRPr="00C316B0" w:rsidTr="00932576">
        <w:trPr>
          <w:trHeight w:val="170"/>
        </w:trPr>
        <w:tc>
          <w:tcPr>
            <w:tcW w:w="910" w:type="pct"/>
            <w:shd w:val="clear" w:color="auto" w:fill="auto"/>
            <w:vAlign w:val="bottom"/>
          </w:tcPr>
          <w:p w:rsidR="001F7E32" w:rsidRPr="00C316B0" w:rsidRDefault="001F7E32" w:rsidP="00FD1C8A">
            <w:pPr>
              <w:jc w:val="both"/>
              <w:rPr>
                <w:rFonts w:asciiTheme="minorHAnsi" w:hAnsiTheme="minorHAnsi" w:cstheme="minorHAnsi"/>
                <w:b/>
                <w:bCs/>
                <w:color w:val="000000"/>
              </w:rPr>
            </w:pPr>
          </w:p>
        </w:tc>
        <w:tc>
          <w:tcPr>
            <w:tcW w:w="2622" w:type="pct"/>
            <w:shd w:val="clear" w:color="auto" w:fill="auto"/>
            <w:vAlign w:val="bottom"/>
          </w:tcPr>
          <w:p w:rsidR="001F7E32" w:rsidRPr="00C316B0" w:rsidRDefault="001F7E32" w:rsidP="00FD1C8A">
            <w:pPr>
              <w:jc w:val="both"/>
              <w:rPr>
                <w:rFonts w:asciiTheme="minorHAnsi" w:hAnsiTheme="minorHAnsi" w:cstheme="minorHAnsi"/>
                <w:b/>
                <w:bCs/>
                <w:color w:val="000000"/>
              </w:rPr>
            </w:pPr>
          </w:p>
        </w:tc>
        <w:tc>
          <w:tcPr>
            <w:tcW w:w="710" w:type="pct"/>
            <w:shd w:val="clear" w:color="auto" w:fill="auto"/>
            <w:noWrap/>
          </w:tcPr>
          <w:p w:rsidR="001F7E32" w:rsidRPr="00C316B0" w:rsidRDefault="001F7E32" w:rsidP="00932576">
            <w:pPr>
              <w:jc w:val="right"/>
              <w:rPr>
                <w:rFonts w:asciiTheme="minorHAnsi" w:hAnsiTheme="minorHAnsi" w:cstheme="minorHAnsi"/>
                <w:b/>
                <w:bCs/>
                <w:color w:val="000000"/>
              </w:rPr>
            </w:pPr>
          </w:p>
        </w:tc>
        <w:tc>
          <w:tcPr>
            <w:tcW w:w="758" w:type="pct"/>
            <w:shd w:val="clear" w:color="auto" w:fill="auto"/>
            <w:noWrap/>
          </w:tcPr>
          <w:p w:rsidR="001F7E32" w:rsidRPr="00C316B0" w:rsidRDefault="001F7E32" w:rsidP="00932576">
            <w:pPr>
              <w:jc w:val="right"/>
              <w:rPr>
                <w:rFonts w:asciiTheme="minorHAnsi" w:hAnsiTheme="minorHAnsi" w:cstheme="minorHAnsi"/>
                <w:b/>
                <w:bCs/>
                <w:color w:val="000000"/>
              </w:rPr>
            </w:pP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DI2 - Debiti verso fornitori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2.4.2.01.01.01.001 - Debiti verso fornitori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10.510,42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131.864,43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DI4b - altre amministrazioni pubbliche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2.4.3.02.01.02.003 - Debiti per Trasferimenti correnti a Comuni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50,00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DI4b - altre amministrazioni pubbliche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2.4.3.02.01.02.999 - Debiti per Trasferimenti correnti a altre Amministrazioni Locali n.a.c.</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1.000,00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2.850,00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DI4b - altre amministrazioni pubbliche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B00096" w:rsidP="005D4A49">
            <w:pPr>
              <w:rPr>
                <w:rFonts w:asciiTheme="minorHAnsi" w:hAnsiTheme="minorHAnsi" w:cstheme="minorHAnsi"/>
                <w:bCs/>
                <w:color w:val="000000"/>
              </w:rPr>
            </w:pPr>
            <w:r w:rsidRPr="005D4A49">
              <w:rPr>
                <w:rFonts w:asciiTheme="minorHAnsi" w:hAnsiTheme="minorHAnsi" w:cstheme="minorHAnsi"/>
                <w:bCs/>
                <w:color w:val="000000"/>
              </w:rPr>
              <w:t>2.4.3.02.01.04.001 - Debiti per Trasferimenti corren</w:t>
            </w:r>
            <w:r>
              <w:rPr>
                <w:rFonts w:asciiTheme="minorHAnsi" w:hAnsiTheme="minorHAnsi" w:cstheme="minorHAnsi"/>
                <w:bCs/>
                <w:color w:val="000000"/>
              </w:rPr>
              <w:t>ti a organismi interni e/o unità locali dell'</w:t>
            </w:r>
            <w:r w:rsidRPr="005D4A49">
              <w:rPr>
                <w:rFonts w:asciiTheme="minorHAnsi" w:hAnsiTheme="minorHAnsi" w:cstheme="minorHAnsi"/>
                <w:bCs/>
                <w:color w:val="000000"/>
              </w:rPr>
              <w:t>amministrazione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1.817,03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8.433,65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DI4b - altre amministrazioni pubbliche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2.4.3.03.01.02.001 - Debiti per Trasferimenti per conto terzi a Regioni e province autonome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763,04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7.098,29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DI4b - altre amministrazioni pubbliche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2.4.3.03.01.02.002 - Debiti per Trasferimenti per conto terzi a Province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3.887,11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DI4b - altre amministrazioni pubbliche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 xml:space="preserve">2.4.3.03.01.02.999 - Debiti per Trasferimenti per conto terzi </w:t>
            </w:r>
            <w:r w:rsidR="00B00096" w:rsidRPr="005D4A49">
              <w:rPr>
                <w:rFonts w:asciiTheme="minorHAnsi" w:hAnsiTheme="minorHAnsi" w:cstheme="minorHAnsi"/>
                <w:bCs/>
                <w:color w:val="000000"/>
              </w:rPr>
              <w:t>ad</w:t>
            </w:r>
            <w:r w:rsidRPr="005D4A49">
              <w:rPr>
                <w:rFonts w:asciiTheme="minorHAnsi" w:hAnsiTheme="minorHAnsi" w:cstheme="minorHAnsi"/>
                <w:bCs/>
                <w:color w:val="000000"/>
              </w:rPr>
              <w:t xml:space="preserve"> altre Amministrazioni Locali n.a.c.</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DI4e - altri soggetti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2.4.3.02.99.05.999 - Debiti verso famiglie dovuti a titolo di trasferimenti n.a.c.</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24.659,80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 xml:space="preserve">2.4.5.01.01.01.001 - </w:t>
            </w:r>
            <w:r>
              <w:rPr>
                <w:rFonts w:asciiTheme="minorHAnsi" w:hAnsiTheme="minorHAnsi" w:cstheme="minorHAnsi"/>
                <w:bCs/>
                <w:color w:val="000000"/>
              </w:rPr>
              <w:t>Imposta regionale sulle attività</w:t>
            </w:r>
            <w:r w:rsidRPr="005D4A49">
              <w:rPr>
                <w:rFonts w:asciiTheme="minorHAnsi" w:hAnsiTheme="minorHAnsi" w:cstheme="minorHAnsi"/>
                <w:bCs/>
                <w:color w:val="000000"/>
              </w:rPr>
              <w:t xml:space="preserve"> produttive (IRAP)</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225,27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2.4.5.01.05.01.001 - Tributo funzione tutela e protezione ambiente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4.000,00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10.812,01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2.4.5.01.09.01.001 - Tassa di circolazione dei veicoli a motore (tassa automobilistica)</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 xml:space="preserve">2.4.5.01.99.01.001 - Imposte, tasse e proventi </w:t>
            </w:r>
            <w:r w:rsidRPr="005D4A49">
              <w:rPr>
                <w:rFonts w:asciiTheme="minorHAnsi" w:hAnsiTheme="minorHAnsi" w:cstheme="minorHAnsi"/>
                <w:bCs/>
                <w:color w:val="000000"/>
              </w:rPr>
              <w:lastRenderedPageBreak/>
              <w:t>assimilati a carico dell</w:t>
            </w:r>
            <w:r>
              <w:rPr>
                <w:rFonts w:asciiTheme="minorHAnsi" w:hAnsiTheme="minorHAnsi" w:cstheme="minorHAnsi"/>
                <w:bCs/>
                <w:color w:val="000000"/>
              </w:rPr>
              <w:t>’</w:t>
            </w:r>
            <w:r w:rsidRPr="005D4A49">
              <w:rPr>
                <w:rFonts w:asciiTheme="minorHAnsi" w:hAnsiTheme="minorHAnsi" w:cstheme="minorHAnsi"/>
                <w:bCs/>
                <w:color w:val="000000"/>
              </w:rPr>
              <w:t>ente n.a.c.</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lastRenderedPageBreak/>
              <w:t xml:space="preserve">     1.636,17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1.535,25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lastRenderedPageBreak/>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2.4.5.04.01.01.001 - Debiti per Versamenti di imposte e tasse di natura corrente riscosse per conto di terzi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32.974,26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2.529,65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2.4.5.05.02.01.001 - Ritenute erariali su redditi da lavoro dipendente per conto terzi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DI5a - tributari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2.4.5.05.03.01.001 - Ritenute erariali su redditi da lavoro autonomo per conto terzi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DI5b - verso istituti di previdenza e sicurezza sociale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2.4.6.01.01.01.001 - Contributi obbligatori per il personale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4.675,13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4.631,88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DI5b - verso istituti di previdenza e sicurezza sociale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2.4.6.02.01.01.001 - Ritenute previdenziali e assistenziali su redditi da lavoro dipendente per conto terzi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DI5b - verso istituti di previdenza e sicurezza sociale</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2.4.6.02.01.02.001 - Versamenti di ritenute previdenziali e assistenziali su Redditi da lavoro dipendente riscosse per conto terzi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253,88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2.4.7.01.02.01.001 - Debiti per stipendi al personale a tempo indeterminato</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5.018,79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10.641,69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2.4.7.01.03.01.001 - Debiti per straordinario da corrispondere al personale a tempo indeterminato</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2.4.7.01.04.01.001 - Debiti per compensi per la produttivit</w:t>
            </w:r>
            <w:r>
              <w:rPr>
                <w:rFonts w:asciiTheme="minorHAnsi" w:hAnsiTheme="minorHAnsi" w:cstheme="minorHAnsi"/>
                <w:bCs/>
                <w:color w:val="000000"/>
              </w:rPr>
              <w:t>à</w:t>
            </w:r>
            <w:r w:rsidRPr="005D4A49">
              <w:rPr>
                <w:rFonts w:asciiTheme="minorHAnsi" w:hAnsiTheme="minorHAnsi" w:cstheme="minorHAnsi"/>
                <w:bCs/>
                <w:color w:val="000000"/>
              </w:rPr>
              <w:t xml:space="preserve"> e altre indennit</w:t>
            </w:r>
            <w:r>
              <w:rPr>
                <w:rFonts w:asciiTheme="minorHAnsi" w:hAnsiTheme="minorHAnsi" w:cstheme="minorHAnsi"/>
                <w:bCs/>
                <w:color w:val="000000"/>
              </w:rPr>
              <w:t>à</w:t>
            </w:r>
            <w:r w:rsidRPr="005D4A49">
              <w:rPr>
                <w:rFonts w:asciiTheme="minorHAnsi" w:hAnsiTheme="minorHAnsi" w:cstheme="minorHAnsi"/>
                <w:bCs/>
                <w:color w:val="000000"/>
              </w:rPr>
              <w:t xml:space="preserve"> per il personale non dirigente a tempo indeterminato</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2.654,49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1.500,00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2.4.7.01.06.01.001 - Debiti per stipendi al personale a tempo determinato</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 xml:space="preserve">2.4.7.01.08.01.001 - Debiti </w:t>
            </w:r>
            <w:r>
              <w:rPr>
                <w:rFonts w:asciiTheme="minorHAnsi" w:hAnsiTheme="minorHAnsi" w:cstheme="minorHAnsi"/>
                <w:bCs/>
                <w:color w:val="000000"/>
              </w:rPr>
              <w:t>per compensi per la produttività</w:t>
            </w:r>
            <w:r w:rsidRPr="005D4A49">
              <w:rPr>
                <w:rFonts w:asciiTheme="minorHAnsi" w:hAnsiTheme="minorHAnsi" w:cstheme="minorHAnsi"/>
                <w:bCs/>
                <w:color w:val="000000"/>
              </w:rPr>
              <w:t xml:space="preserve"> e altre indennit</w:t>
            </w:r>
            <w:r>
              <w:rPr>
                <w:rFonts w:asciiTheme="minorHAnsi" w:hAnsiTheme="minorHAnsi" w:cstheme="minorHAnsi"/>
                <w:bCs/>
                <w:color w:val="000000"/>
              </w:rPr>
              <w:t>à</w:t>
            </w:r>
            <w:r w:rsidRPr="005D4A49">
              <w:rPr>
                <w:rFonts w:asciiTheme="minorHAnsi" w:hAnsiTheme="minorHAnsi" w:cstheme="minorHAnsi"/>
                <w:bCs/>
                <w:color w:val="000000"/>
              </w:rPr>
              <w:t xml:space="preserve"> per il personale non dirigente a tempo determinato</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2.4.7.02.01.01.001 - Debiti per erogazione indennit</w:t>
            </w:r>
            <w:r>
              <w:rPr>
                <w:rFonts w:asciiTheme="minorHAnsi" w:hAnsiTheme="minorHAnsi" w:cstheme="minorHAnsi"/>
                <w:bCs/>
                <w:color w:val="000000"/>
              </w:rPr>
              <w:t>à</w:t>
            </w:r>
            <w:r w:rsidRPr="005D4A49">
              <w:rPr>
                <w:rFonts w:asciiTheme="minorHAnsi" w:hAnsiTheme="minorHAnsi" w:cstheme="minorHAnsi"/>
                <w:bCs/>
                <w:color w:val="000000"/>
              </w:rPr>
              <w:t xml:space="preserve"> agli organi istituzionali dell</w:t>
            </w:r>
            <w:r>
              <w:rPr>
                <w:rFonts w:asciiTheme="minorHAnsi" w:hAnsiTheme="minorHAnsi" w:cstheme="minorHAnsi"/>
                <w:bCs/>
                <w:color w:val="000000"/>
              </w:rPr>
              <w:t>’</w:t>
            </w:r>
            <w:r w:rsidRPr="005D4A49">
              <w:rPr>
                <w:rFonts w:asciiTheme="minorHAnsi" w:hAnsiTheme="minorHAnsi" w:cstheme="minorHAnsi"/>
                <w:bCs/>
                <w:color w:val="000000"/>
              </w:rPr>
              <w:t>amministrazione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2.256,40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656,74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2.4.7.03.01.01.001 - Debiti verso organi</w:t>
            </w:r>
            <w:r>
              <w:rPr>
                <w:rFonts w:asciiTheme="minorHAnsi" w:hAnsiTheme="minorHAnsi" w:cstheme="minorHAnsi"/>
                <w:bCs/>
                <w:color w:val="000000"/>
              </w:rPr>
              <w:t xml:space="preserve"> e incarichi istituzionali dell’</w:t>
            </w:r>
            <w:r w:rsidRPr="005D4A49">
              <w:rPr>
                <w:rFonts w:asciiTheme="minorHAnsi" w:hAnsiTheme="minorHAnsi" w:cstheme="minorHAnsi"/>
                <w:bCs/>
                <w:color w:val="000000"/>
              </w:rPr>
              <w:t>amministrazione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3.200,00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3.200,00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2.4.7.03.02.01.001 - Debiti verso creditori diversi per servizi amministrativi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50,00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100,00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2.4.7.03.03.01.001 - Debiti verso creditori diversi per servizi finanziari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966,00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2.050,00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2.4.7.03.04.01.001 - Debiti verso creditori diversi per altri servizi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73.159,10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61.122,70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2.4.7.04.03.01.001 - Debiti verso collaboratori occasionali, continuativi ed altre forme di collaborazione</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24.721,47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26.925,98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 xml:space="preserve">2.4.7.04.13.01.001 - Altre ritenute diverse dalle </w:t>
            </w:r>
            <w:r w:rsidRPr="005D4A49">
              <w:rPr>
                <w:rFonts w:asciiTheme="minorHAnsi" w:hAnsiTheme="minorHAnsi" w:cstheme="minorHAnsi"/>
                <w:bCs/>
                <w:color w:val="000000"/>
              </w:rPr>
              <w:lastRenderedPageBreak/>
              <w:t>ritenute erariali e previdenziali</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lastRenderedPageBreak/>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r>
      <w:tr w:rsidR="005D4A49" w:rsidRPr="005D4A49" w:rsidTr="005D4A49">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lastRenderedPageBreak/>
              <w:t>DI5d - altri</w:t>
            </w: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5D4A49" w:rsidRPr="005D4A49" w:rsidRDefault="005D4A49" w:rsidP="005D4A49">
            <w:pPr>
              <w:rPr>
                <w:rFonts w:asciiTheme="minorHAnsi" w:hAnsiTheme="minorHAnsi" w:cstheme="minorHAnsi"/>
                <w:bCs/>
                <w:color w:val="000000"/>
              </w:rPr>
            </w:pPr>
            <w:r w:rsidRPr="005D4A49">
              <w:rPr>
                <w:rFonts w:asciiTheme="minorHAnsi" w:hAnsiTheme="minorHAnsi" w:cstheme="minorHAnsi"/>
                <w:bCs/>
                <w:color w:val="000000"/>
              </w:rPr>
              <w:t>2.4.7.04.99.99.999 - Altri debiti n.a.c.</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   </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5D4A49" w:rsidRPr="005D4A49" w:rsidRDefault="005D4A49" w:rsidP="005D4A49">
            <w:pPr>
              <w:jc w:val="right"/>
              <w:rPr>
                <w:rFonts w:asciiTheme="minorHAnsi" w:hAnsiTheme="minorHAnsi" w:cstheme="minorHAnsi"/>
                <w:bCs/>
                <w:color w:val="000000"/>
              </w:rPr>
            </w:pPr>
            <w:r w:rsidRPr="005D4A49">
              <w:rPr>
                <w:rFonts w:asciiTheme="minorHAnsi" w:hAnsiTheme="minorHAnsi" w:cstheme="minorHAnsi"/>
                <w:bCs/>
                <w:color w:val="000000"/>
              </w:rPr>
              <w:t xml:space="preserve">        238,12 </w:t>
            </w:r>
          </w:p>
        </w:tc>
      </w:tr>
      <w:tr w:rsidR="0022242F" w:rsidRPr="0022242F" w:rsidTr="00932576">
        <w:trPr>
          <w:trHeight w:val="170"/>
        </w:trPr>
        <w:tc>
          <w:tcPr>
            <w:tcW w:w="910" w:type="pct"/>
            <w:tcBorders>
              <w:top w:val="single" w:sz="4" w:space="0" w:color="auto"/>
              <w:left w:val="single" w:sz="4" w:space="0" w:color="auto"/>
              <w:bottom w:val="single" w:sz="4" w:space="0" w:color="auto"/>
              <w:right w:val="single" w:sz="4" w:space="0" w:color="auto"/>
            </w:tcBorders>
            <w:shd w:val="clear" w:color="auto" w:fill="auto"/>
          </w:tcPr>
          <w:p w:rsidR="0022242F" w:rsidRPr="0022242F" w:rsidRDefault="0022242F" w:rsidP="0022242F">
            <w:pPr>
              <w:rPr>
                <w:rFonts w:asciiTheme="minorHAnsi" w:hAnsiTheme="minorHAnsi" w:cstheme="minorHAnsi"/>
                <w:b/>
                <w:bCs/>
                <w:color w:val="000000"/>
                <w:sz w:val="20"/>
              </w:rPr>
            </w:pPr>
          </w:p>
        </w:tc>
        <w:tc>
          <w:tcPr>
            <w:tcW w:w="2622" w:type="pct"/>
            <w:tcBorders>
              <w:top w:val="single" w:sz="4" w:space="0" w:color="auto"/>
              <w:left w:val="single" w:sz="4" w:space="0" w:color="auto"/>
              <w:bottom w:val="single" w:sz="4" w:space="0" w:color="auto"/>
              <w:right w:val="single" w:sz="4" w:space="0" w:color="auto"/>
            </w:tcBorders>
            <w:shd w:val="clear" w:color="auto" w:fill="auto"/>
          </w:tcPr>
          <w:p w:rsidR="0022242F" w:rsidRPr="0022242F" w:rsidRDefault="0022242F" w:rsidP="0022242F">
            <w:pPr>
              <w:rPr>
                <w:rFonts w:asciiTheme="minorHAnsi" w:hAnsiTheme="minorHAnsi" w:cstheme="minorHAnsi"/>
                <w:b/>
                <w:bCs/>
                <w:color w:val="000000"/>
                <w:sz w:val="20"/>
              </w:rPr>
            </w:pPr>
            <w:r w:rsidRPr="0022242F">
              <w:rPr>
                <w:rFonts w:asciiTheme="minorHAnsi" w:hAnsiTheme="minorHAnsi" w:cstheme="minorHAnsi"/>
                <w:b/>
                <w:bCs/>
                <w:color w:val="000000"/>
                <w:sz w:val="20"/>
              </w:rPr>
              <w:t>TOTALE DEBITI DI FUNZIONAMENTO</w:t>
            </w:r>
          </w:p>
        </w:tc>
        <w:tc>
          <w:tcPr>
            <w:tcW w:w="710" w:type="pct"/>
            <w:tcBorders>
              <w:top w:val="single" w:sz="4" w:space="0" w:color="auto"/>
              <w:left w:val="single" w:sz="4" w:space="0" w:color="auto"/>
              <w:bottom w:val="single" w:sz="4" w:space="0" w:color="auto"/>
              <w:right w:val="single" w:sz="4" w:space="0" w:color="auto"/>
            </w:tcBorders>
            <w:shd w:val="clear" w:color="auto" w:fill="auto"/>
            <w:noWrap/>
          </w:tcPr>
          <w:p w:rsidR="0022242F" w:rsidRPr="0022242F" w:rsidRDefault="00D400A2" w:rsidP="00932576">
            <w:pPr>
              <w:jc w:val="right"/>
              <w:rPr>
                <w:rFonts w:asciiTheme="minorHAnsi" w:hAnsiTheme="minorHAnsi" w:cstheme="minorHAnsi"/>
                <w:b/>
                <w:bCs/>
                <w:color w:val="000000"/>
                <w:sz w:val="20"/>
              </w:rPr>
            </w:pPr>
            <w:r>
              <w:rPr>
                <w:rFonts w:asciiTheme="minorHAnsi" w:hAnsiTheme="minorHAnsi" w:cstheme="minorHAnsi"/>
                <w:b/>
                <w:bCs/>
                <w:color w:val="000000"/>
                <w:sz w:val="20"/>
              </w:rPr>
              <w:t>169.677,57</w:t>
            </w:r>
          </w:p>
        </w:tc>
        <w:tc>
          <w:tcPr>
            <w:tcW w:w="758" w:type="pct"/>
            <w:tcBorders>
              <w:top w:val="single" w:sz="4" w:space="0" w:color="auto"/>
              <w:left w:val="single" w:sz="4" w:space="0" w:color="auto"/>
              <w:bottom w:val="single" w:sz="4" w:space="0" w:color="auto"/>
              <w:right w:val="single" w:sz="4" w:space="0" w:color="auto"/>
            </w:tcBorders>
            <w:shd w:val="clear" w:color="auto" w:fill="auto"/>
            <w:noWrap/>
          </w:tcPr>
          <w:p w:rsidR="0022242F" w:rsidRPr="0022242F" w:rsidRDefault="00171BBB" w:rsidP="00932576">
            <w:pPr>
              <w:jc w:val="right"/>
              <w:rPr>
                <w:rFonts w:asciiTheme="minorHAnsi" w:hAnsiTheme="minorHAnsi" w:cstheme="minorHAnsi"/>
                <w:b/>
                <w:bCs/>
                <w:color w:val="000000"/>
                <w:sz w:val="20"/>
              </w:rPr>
            </w:pPr>
            <w:r>
              <w:rPr>
                <w:rFonts w:asciiTheme="minorHAnsi" w:hAnsiTheme="minorHAnsi" w:cstheme="minorHAnsi"/>
                <w:b/>
                <w:bCs/>
                <w:color w:val="000000"/>
                <w:sz w:val="20"/>
              </w:rPr>
              <w:t>304.991,</w:t>
            </w:r>
            <w:r w:rsidR="00D400A2">
              <w:rPr>
                <w:rFonts w:asciiTheme="minorHAnsi" w:hAnsiTheme="minorHAnsi" w:cstheme="minorHAnsi"/>
                <w:b/>
                <w:bCs/>
                <w:color w:val="000000"/>
                <w:sz w:val="20"/>
              </w:rPr>
              <w:t>18</w:t>
            </w:r>
          </w:p>
        </w:tc>
      </w:tr>
    </w:tbl>
    <w:p w:rsidR="00E14A2F" w:rsidRPr="00C316B0" w:rsidRDefault="00E14A2F" w:rsidP="00FD1C8A">
      <w:pPr>
        <w:jc w:val="both"/>
        <w:rPr>
          <w:rFonts w:asciiTheme="minorHAnsi" w:hAnsiTheme="minorHAnsi" w:cstheme="minorHAnsi"/>
        </w:rPr>
      </w:pPr>
    </w:p>
    <w:p w:rsidR="00C51302" w:rsidRPr="00C316B0" w:rsidRDefault="00CF6F0E" w:rsidP="00FD1C8A">
      <w:pPr>
        <w:jc w:val="both"/>
        <w:rPr>
          <w:rFonts w:asciiTheme="minorHAnsi" w:hAnsiTheme="minorHAnsi" w:cstheme="minorHAnsi"/>
        </w:rPr>
      </w:pPr>
      <w:r w:rsidRPr="00C316B0">
        <w:rPr>
          <w:rFonts w:asciiTheme="minorHAnsi" w:hAnsiTheme="minorHAnsi" w:cstheme="minorHAnsi"/>
        </w:rPr>
        <w:t xml:space="preserve">Non vengono rilevati </w:t>
      </w:r>
      <w:r w:rsidR="00932576">
        <w:rPr>
          <w:rFonts w:asciiTheme="minorHAnsi" w:hAnsiTheme="minorHAnsi" w:cstheme="minorHAnsi"/>
        </w:rPr>
        <w:t xml:space="preserve">eventuali </w:t>
      </w:r>
      <w:r w:rsidRPr="00C316B0">
        <w:rPr>
          <w:rFonts w:asciiTheme="minorHAnsi" w:hAnsiTheme="minorHAnsi" w:cstheme="minorHAnsi"/>
        </w:rPr>
        <w:t>debiti di durata superiore a 5 anni</w:t>
      </w:r>
      <w:r w:rsidR="00C51302" w:rsidRPr="00C316B0">
        <w:rPr>
          <w:rFonts w:asciiTheme="minorHAnsi" w:hAnsiTheme="minorHAnsi" w:cstheme="minorHAnsi"/>
        </w:rPr>
        <w:t>, debiti assistiti da garanzie reali su beni dell’ente o impegni non risultanti dallo Stato patrimoniale</w:t>
      </w:r>
    </w:p>
    <w:p w:rsidR="00BD174C" w:rsidRDefault="00BD174C" w:rsidP="00FD1C8A">
      <w:pPr>
        <w:jc w:val="both"/>
        <w:rPr>
          <w:rFonts w:asciiTheme="minorHAnsi" w:hAnsiTheme="minorHAnsi" w:cstheme="minorHAnsi"/>
        </w:rPr>
      </w:pPr>
    </w:p>
    <w:p w:rsidR="004A0D69" w:rsidRPr="00C316B0" w:rsidRDefault="004A0D69" w:rsidP="004A0D69">
      <w:pPr>
        <w:jc w:val="both"/>
        <w:rPr>
          <w:rFonts w:asciiTheme="minorHAnsi" w:hAnsiTheme="minorHAnsi" w:cstheme="minorHAnsi"/>
        </w:rPr>
      </w:pPr>
    </w:p>
    <w:tbl>
      <w:tblPr>
        <w:tblW w:w="5093" w:type="dxa"/>
        <w:tblInd w:w="-5" w:type="dxa"/>
        <w:tblCellMar>
          <w:left w:w="0" w:type="dxa"/>
          <w:right w:w="0" w:type="dxa"/>
        </w:tblCellMar>
        <w:tblLook w:val="04A0"/>
      </w:tblPr>
      <w:tblGrid>
        <w:gridCol w:w="2967"/>
        <w:gridCol w:w="432"/>
        <w:gridCol w:w="1694"/>
      </w:tblGrid>
      <w:tr w:rsidR="004A0D69" w:rsidRPr="00C316B0" w:rsidTr="0078418F">
        <w:trPr>
          <w:trHeight w:val="300"/>
        </w:trPr>
        <w:tc>
          <w:tcPr>
            <w:tcW w:w="2967"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A0D69" w:rsidRPr="00C316B0" w:rsidRDefault="004A0D69" w:rsidP="0078418F">
            <w:pPr>
              <w:jc w:val="both"/>
              <w:rPr>
                <w:rFonts w:asciiTheme="minorHAnsi" w:hAnsiTheme="minorHAnsi" w:cstheme="minorHAnsi"/>
                <w:color w:val="000000"/>
              </w:rPr>
            </w:pPr>
            <w:r>
              <w:rPr>
                <w:rFonts w:asciiTheme="minorHAnsi" w:hAnsiTheme="minorHAnsi" w:cstheme="minorHAnsi"/>
                <w:color w:val="000000"/>
              </w:rPr>
              <w:t>Debiti</w:t>
            </w:r>
            <w:r w:rsidRPr="00C316B0">
              <w:rPr>
                <w:rFonts w:asciiTheme="minorHAnsi" w:hAnsiTheme="minorHAnsi" w:cstheme="minorHAnsi"/>
                <w:color w:val="000000"/>
              </w:rPr>
              <w:t xml:space="preserve">  </w:t>
            </w:r>
          </w:p>
        </w:tc>
        <w:tc>
          <w:tcPr>
            <w:tcW w:w="432" w:type="dxa"/>
            <w:tcBorders>
              <w:top w:val="single" w:sz="8" w:space="0" w:color="auto"/>
              <w:left w:val="nil"/>
              <w:bottom w:val="single" w:sz="4" w:space="0" w:color="auto"/>
              <w:right w:val="single" w:sz="4" w:space="0" w:color="auto"/>
            </w:tcBorders>
          </w:tcPr>
          <w:p w:rsidR="004A0D69" w:rsidRPr="001E4477" w:rsidRDefault="004A0D69" w:rsidP="0078418F">
            <w:pPr>
              <w:jc w:val="center"/>
              <w:rPr>
                <w:rFonts w:ascii="Calibri" w:hAnsi="Calibri" w:cs="Calibri"/>
                <w:b/>
                <w:color w:val="000000"/>
              </w:rPr>
            </w:pPr>
          </w:p>
        </w:tc>
        <w:tc>
          <w:tcPr>
            <w:tcW w:w="1694" w:type="dxa"/>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A0D69" w:rsidRPr="009062EE" w:rsidRDefault="002E7D0A" w:rsidP="0078418F">
            <w:pPr>
              <w:jc w:val="right"/>
              <w:rPr>
                <w:rFonts w:asciiTheme="minorHAnsi" w:hAnsiTheme="minorHAnsi" w:cstheme="minorHAnsi"/>
                <w:color w:val="000000"/>
              </w:rPr>
            </w:pPr>
            <w:r>
              <w:rPr>
                <w:rFonts w:ascii="Calibri" w:hAnsi="Calibri" w:cs="Calibri"/>
                <w:color w:val="000000"/>
                <w:sz w:val="22"/>
                <w:szCs w:val="22"/>
              </w:rPr>
              <w:t>291.556,99</w:t>
            </w:r>
          </w:p>
        </w:tc>
      </w:tr>
      <w:tr w:rsidR="004A0D69" w:rsidRPr="00C316B0" w:rsidTr="0078418F">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A0D69" w:rsidRPr="00C316B0" w:rsidRDefault="004A0D69" w:rsidP="0078418F">
            <w:pPr>
              <w:jc w:val="both"/>
              <w:rPr>
                <w:rFonts w:asciiTheme="minorHAnsi" w:hAnsiTheme="minorHAnsi" w:cstheme="minorHAnsi"/>
                <w:color w:val="000000"/>
              </w:rPr>
            </w:pPr>
            <w:r>
              <w:rPr>
                <w:rFonts w:ascii="Calibri" w:hAnsi="Calibri" w:cs="Calibri"/>
                <w:color w:val="000000"/>
                <w:sz w:val="22"/>
                <w:szCs w:val="22"/>
              </w:rPr>
              <w:t>Debiti di Finanziamento</w:t>
            </w:r>
          </w:p>
        </w:tc>
        <w:tc>
          <w:tcPr>
            <w:tcW w:w="432" w:type="dxa"/>
            <w:tcBorders>
              <w:top w:val="single" w:sz="4" w:space="0" w:color="auto"/>
              <w:left w:val="nil"/>
              <w:bottom w:val="single" w:sz="4" w:space="0" w:color="auto"/>
              <w:right w:val="single" w:sz="4" w:space="0" w:color="auto"/>
            </w:tcBorders>
          </w:tcPr>
          <w:p w:rsidR="004A0D69" w:rsidRPr="00C316B0" w:rsidRDefault="004A0D69" w:rsidP="0078418F">
            <w:pPr>
              <w:jc w:val="center"/>
              <w:rPr>
                <w:rFonts w:asciiTheme="minorHAnsi" w:hAnsiTheme="minorHAnsi" w:cstheme="minorHAnsi"/>
                <w:color w:val="000000"/>
              </w:rPr>
            </w:pPr>
            <w:r>
              <w:rPr>
                <w:rFonts w:ascii="Calibri" w:hAnsi="Calibri" w:cs="Calibri"/>
                <w:color w:val="000000"/>
                <w:sz w:val="22"/>
                <w:szCs w:val="22"/>
              </w:rPr>
              <w:t>(-)</w:t>
            </w: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rsidR="004A0D69" w:rsidRPr="009062EE" w:rsidRDefault="002E7D0A" w:rsidP="0078418F">
            <w:pPr>
              <w:jc w:val="right"/>
              <w:rPr>
                <w:rFonts w:ascii="Calibri" w:hAnsi="Calibri" w:cs="Calibri"/>
                <w:color w:val="000000"/>
              </w:rPr>
            </w:pPr>
            <w:r>
              <w:rPr>
                <w:rFonts w:ascii="Calibri" w:hAnsi="Calibri" w:cs="Calibri"/>
                <w:color w:val="000000"/>
                <w:sz w:val="22"/>
                <w:szCs w:val="22"/>
              </w:rPr>
              <w:t>121.879,42</w:t>
            </w:r>
          </w:p>
        </w:tc>
      </w:tr>
      <w:tr w:rsidR="004A0D69" w:rsidRPr="00BC3573" w:rsidTr="0078418F">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A0D69" w:rsidRPr="00BC3573" w:rsidRDefault="004A0D69" w:rsidP="0078418F">
            <w:pPr>
              <w:jc w:val="both"/>
              <w:rPr>
                <w:rFonts w:asciiTheme="minorHAnsi" w:hAnsiTheme="minorHAnsi" w:cstheme="minorHAnsi"/>
                <w:color w:val="000000"/>
              </w:rPr>
            </w:pPr>
          </w:p>
        </w:tc>
        <w:tc>
          <w:tcPr>
            <w:tcW w:w="432" w:type="dxa"/>
            <w:tcBorders>
              <w:top w:val="single" w:sz="4" w:space="0" w:color="auto"/>
              <w:left w:val="nil"/>
              <w:bottom w:val="single" w:sz="4" w:space="0" w:color="auto"/>
              <w:right w:val="single" w:sz="4" w:space="0" w:color="auto"/>
            </w:tcBorders>
          </w:tcPr>
          <w:p w:rsidR="004A0D69" w:rsidRPr="00BC3573" w:rsidRDefault="004A0D69" w:rsidP="0078418F">
            <w:pPr>
              <w:jc w:val="center"/>
              <w:rPr>
                <w:rFonts w:asciiTheme="minorHAnsi" w:hAnsiTheme="minorHAnsi" w:cstheme="minorHAnsi"/>
                <w:color w:val="000000"/>
              </w:rPr>
            </w:pP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rsidR="004A0D69" w:rsidRPr="00BC3573" w:rsidRDefault="004A0D69" w:rsidP="004A0D69">
            <w:pPr>
              <w:jc w:val="right"/>
              <w:rPr>
                <w:rFonts w:ascii="Calibri" w:hAnsi="Calibri" w:cs="Calibri"/>
                <w:color w:val="000000"/>
              </w:rPr>
            </w:pPr>
            <w:r w:rsidRPr="00BC3573">
              <w:rPr>
                <w:rFonts w:ascii="Calibri" w:hAnsi="Calibri" w:cs="Calibri"/>
                <w:color w:val="000000"/>
                <w:sz w:val="22"/>
                <w:szCs w:val="22"/>
              </w:rPr>
              <w:t xml:space="preserve">            169.677,57</w:t>
            </w:r>
          </w:p>
        </w:tc>
      </w:tr>
      <w:tr w:rsidR="004A0D69" w:rsidRPr="00BC3573" w:rsidTr="0078418F">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A0D69" w:rsidRPr="00BC3573" w:rsidRDefault="004A0D69" w:rsidP="0078418F">
            <w:pPr>
              <w:jc w:val="both"/>
              <w:rPr>
                <w:rFonts w:asciiTheme="minorHAnsi" w:hAnsiTheme="minorHAnsi" w:cstheme="minorHAnsi"/>
                <w:color w:val="000000"/>
              </w:rPr>
            </w:pPr>
            <w:r w:rsidRPr="00BC3573">
              <w:rPr>
                <w:rFonts w:asciiTheme="minorHAnsi" w:hAnsiTheme="minorHAnsi" w:cstheme="minorHAnsi"/>
                <w:color w:val="000000"/>
              </w:rPr>
              <w:t> </w:t>
            </w:r>
          </w:p>
        </w:tc>
        <w:tc>
          <w:tcPr>
            <w:tcW w:w="432" w:type="dxa"/>
            <w:tcBorders>
              <w:top w:val="single" w:sz="4" w:space="0" w:color="auto"/>
              <w:left w:val="nil"/>
              <w:bottom w:val="single" w:sz="4" w:space="0" w:color="auto"/>
              <w:right w:val="single" w:sz="4" w:space="0" w:color="auto"/>
            </w:tcBorders>
          </w:tcPr>
          <w:p w:rsidR="004A0D69" w:rsidRPr="00BC3573" w:rsidRDefault="004A0D69" w:rsidP="0078418F">
            <w:pPr>
              <w:jc w:val="center"/>
              <w:rPr>
                <w:rFonts w:asciiTheme="minorHAnsi" w:hAnsiTheme="minorHAnsi" w:cstheme="minorHAnsi"/>
                <w:color w:val="000000"/>
              </w:rPr>
            </w:pP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A0D69" w:rsidRPr="00BC3573" w:rsidRDefault="004A0D69" w:rsidP="0078418F">
            <w:pPr>
              <w:jc w:val="right"/>
              <w:rPr>
                <w:rFonts w:asciiTheme="minorHAnsi" w:hAnsiTheme="minorHAnsi" w:cstheme="minorHAnsi"/>
                <w:color w:val="000000"/>
              </w:rPr>
            </w:pPr>
            <w:r w:rsidRPr="00BC3573">
              <w:rPr>
                <w:rFonts w:asciiTheme="minorHAnsi" w:hAnsiTheme="minorHAnsi" w:cstheme="minorHAnsi"/>
                <w:color w:val="000000"/>
              </w:rPr>
              <w:t> </w:t>
            </w:r>
          </w:p>
        </w:tc>
      </w:tr>
      <w:tr w:rsidR="004A0D69" w:rsidRPr="00C316B0" w:rsidTr="0078418F">
        <w:trPr>
          <w:trHeight w:val="300"/>
        </w:trPr>
        <w:tc>
          <w:tcPr>
            <w:tcW w:w="2967"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A0D69" w:rsidRPr="00C316B0" w:rsidRDefault="004A0D69" w:rsidP="0078418F">
            <w:pPr>
              <w:jc w:val="both"/>
              <w:rPr>
                <w:rFonts w:asciiTheme="minorHAnsi" w:hAnsiTheme="minorHAnsi" w:cstheme="minorHAnsi"/>
                <w:color w:val="000000"/>
              </w:rPr>
            </w:pPr>
            <w:r>
              <w:rPr>
                <w:rFonts w:asciiTheme="minorHAnsi" w:hAnsiTheme="minorHAnsi" w:cstheme="minorHAnsi"/>
                <w:color w:val="000000"/>
              </w:rPr>
              <w:t xml:space="preserve"> Residui Passivi</w:t>
            </w:r>
          </w:p>
        </w:tc>
        <w:tc>
          <w:tcPr>
            <w:tcW w:w="432" w:type="dxa"/>
            <w:tcBorders>
              <w:top w:val="single" w:sz="4" w:space="0" w:color="auto"/>
              <w:left w:val="nil"/>
              <w:bottom w:val="single" w:sz="4" w:space="0" w:color="auto"/>
              <w:right w:val="single" w:sz="4" w:space="0" w:color="auto"/>
            </w:tcBorders>
          </w:tcPr>
          <w:p w:rsidR="004A0D69" w:rsidRDefault="004A0D69" w:rsidP="0078418F">
            <w:pPr>
              <w:jc w:val="center"/>
              <w:rPr>
                <w:rFonts w:ascii="Calibri" w:hAnsi="Calibri" w:cs="Calibri"/>
                <w:color w:val="000000"/>
              </w:rPr>
            </w:pPr>
          </w:p>
        </w:tc>
        <w:tc>
          <w:tcPr>
            <w:tcW w:w="1694"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A0D69" w:rsidRPr="001E4477" w:rsidRDefault="004A0D69" w:rsidP="0078418F">
            <w:pPr>
              <w:jc w:val="right"/>
              <w:rPr>
                <w:rFonts w:ascii="Calibri" w:hAnsi="Calibri" w:cs="Calibri"/>
                <w:color w:val="000000"/>
              </w:rPr>
            </w:pPr>
            <w:r>
              <w:rPr>
                <w:rFonts w:ascii="Calibri" w:hAnsi="Calibri" w:cs="Calibri"/>
                <w:color w:val="000000"/>
                <w:sz w:val="22"/>
                <w:szCs w:val="22"/>
              </w:rPr>
              <w:t>169.677.57</w:t>
            </w:r>
          </w:p>
        </w:tc>
      </w:tr>
    </w:tbl>
    <w:p w:rsidR="004A0D69" w:rsidRDefault="004A0D69" w:rsidP="004A0D69">
      <w:pPr>
        <w:jc w:val="both"/>
        <w:rPr>
          <w:rFonts w:asciiTheme="minorHAnsi" w:hAnsiTheme="minorHAnsi" w:cstheme="minorHAnsi"/>
          <w:b/>
        </w:rPr>
      </w:pPr>
    </w:p>
    <w:p w:rsidR="004A0D69" w:rsidRDefault="004A0D69" w:rsidP="004A0D69">
      <w:pPr>
        <w:jc w:val="both"/>
        <w:rPr>
          <w:rFonts w:asciiTheme="minorHAnsi" w:hAnsiTheme="minorHAnsi" w:cstheme="minorHAnsi"/>
        </w:rPr>
      </w:pPr>
      <w:r w:rsidRPr="004A0D69">
        <w:rPr>
          <w:rFonts w:asciiTheme="minorHAnsi" w:hAnsiTheme="minorHAnsi" w:cstheme="minorHAnsi"/>
        </w:rPr>
        <w:t>Effettu</w:t>
      </w:r>
      <w:r>
        <w:rPr>
          <w:rFonts w:asciiTheme="minorHAnsi" w:hAnsiTheme="minorHAnsi" w:cstheme="minorHAnsi"/>
        </w:rPr>
        <w:t>a</w:t>
      </w:r>
      <w:r w:rsidRPr="004A0D69">
        <w:rPr>
          <w:rFonts w:asciiTheme="minorHAnsi" w:hAnsiTheme="minorHAnsi" w:cstheme="minorHAnsi"/>
        </w:rPr>
        <w:t xml:space="preserve">te le </w:t>
      </w:r>
      <w:r>
        <w:rPr>
          <w:rFonts w:asciiTheme="minorHAnsi" w:hAnsiTheme="minorHAnsi" w:cstheme="minorHAnsi"/>
        </w:rPr>
        <w:t>opportune rettifiche i debiti coincidono con i re</w:t>
      </w:r>
      <w:r w:rsidR="00171BBB">
        <w:rPr>
          <w:rFonts w:asciiTheme="minorHAnsi" w:hAnsiTheme="minorHAnsi" w:cstheme="minorHAnsi"/>
        </w:rPr>
        <w:t>sidui passivi derivanti dalla co</w:t>
      </w:r>
      <w:r>
        <w:rPr>
          <w:rFonts w:asciiTheme="minorHAnsi" w:hAnsiTheme="minorHAnsi" w:cstheme="minorHAnsi"/>
        </w:rPr>
        <w:t>ntabilità finanziaria</w:t>
      </w:r>
    </w:p>
    <w:p w:rsidR="00D639E8" w:rsidRDefault="00D639E8" w:rsidP="00FD1C8A">
      <w:pPr>
        <w:jc w:val="both"/>
        <w:rPr>
          <w:rFonts w:asciiTheme="minorHAnsi" w:hAnsiTheme="minorHAnsi" w:cstheme="minorHAnsi"/>
        </w:rPr>
      </w:pPr>
    </w:p>
    <w:p w:rsidR="007A304D" w:rsidRPr="00C316B0" w:rsidRDefault="007A304D"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t>RATEI E RISCONTI PASSIVI E CONTRIBUTI AGLI INVESTIMENTI</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 xml:space="preserve">In questa </w:t>
      </w:r>
      <w:r w:rsidR="00794A33" w:rsidRPr="00C316B0">
        <w:rPr>
          <w:rFonts w:asciiTheme="minorHAnsi" w:hAnsiTheme="minorHAnsi" w:cstheme="minorHAnsi"/>
        </w:rPr>
        <w:t>voce patrimoniale</w:t>
      </w:r>
      <w:r w:rsidRPr="00C316B0">
        <w:rPr>
          <w:rFonts w:asciiTheme="minorHAnsi" w:hAnsiTheme="minorHAnsi" w:cstheme="minorHAnsi"/>
        </w:rPr>
        <w:t xml:space="preserve"> è </w:t>
      </w:r>
      <w:r w:rsidR="00794A33" w:rsidRPr="00C316B0">
        <w:rPr>
          <w:rFonts w:asciiTheme="minorHAnsi" w:hAnsiTheme="minorHAnsi" w:cstheme="minorHAnsi"/>
        </w:rPr>
        <w:t xml:space="preserve">stata </w:t>
      </w:r>
      <w:r w:rsidRPr="00C316B0">
        <w:rPr>
          <w:rFonts w:asciiTheme="minorHAnsi" w:hAnsiTheme="minorHAnsi" w:cstheme="minorHAnsi"/>
        </w:rPr>
        <w:t>rappresentata la principale novità derivante dall’applicazione dei principi contabili enunciati nell’allegato 4/3 del decreto le</w:t>
      </w:r>
      <w:r w:rsidR="000B26B1" w:rsidRPr="00C316B0">
        <w:rPr>
          <w:rFonts w:asciiTheme="minorHAnsi" w:hAnsiTheme="minorHAnsi" w:cstheme="minorHAnsi"/>
        </w:rPr>
        <w:t xml:space="preserve">gislativo 23 giugno 2011 n. 118; in quanto rappresenta sia le somme riportate sull’esercizio 2018 e finanziate dal Fondo Pluriennale Vincolato relativamente al Salario Accessorio e Premiante, </w:t>
      </w:r>
      <w:r w:rsidR="00794A33" w:rsidRPr="00C316B0">
        <w:rPr>
          <w:rFonts w:asciiTheme="minorHAnsi" w:hAnsiTheme="minorHAnsi" w:cstheme="minorHAnsi"/>
        </w:rPr>
        <w:t>che</w:t>
      </w:r>
      <w:r w:rsidR="000B26B1" w:rsidRPr="00C316B0">
        <w:rPr>
          <w:rFonts w:asciiTheme="minorHAnsi" w:hAnsiTheme="minorHAnsi" w:cstheme="minorHAnsi"/>
        </w:rPr>
        <w:t xml:space="preserve"> i contributi agli investimenti ottenuti da altri soggetti </w:t>
      </w:r>
      <w:r w:rsidR="00794A33" w:rsidRPr="00C316B0">
        <w:rPr>
          <w:rFonts w:asciiTheme="minorHAnsi" w:hAnsiTheme="minorHAnsi" w:cstheme="minorHAnsi"/>
        </w:rPr>
        <w:t xml:space="preserve">che </w:t>
      </w:r>
      <w:r w:rsidR="000B26B1" w:rsidRPr="00C316B0">
        <w:rPr>
          <w:rFonts w:asciiTheme="minorHAnsi" w:hAnsiTheme="minorHAnsi" w:cstheme="minorHAnsi"/>
        </w:rPr>
        <w:t xml:space="preserve">hanno </w:t>
      </w:r>
      <w:r w:rsidR="00794A33" w:rsidRPr="00C316B0">
        <w:rPr>
          <w:rFonts w:asciiTheme="minorHAnsi" w:hAnsiTheme="minorHAnsi" w:cstheme="minorHAnsi"/>
        </w:rPr>
        <w:t>finanzia</w:t>
      </w:r>
      <w:r w:rsidR="00C51302" w:rsidRPr="00C316B0">
        <w:rPr>
          <w:rFonts w:asciiTheme="minorHAnsi" w:hAnsiTheme="minorHAnsi" w:cstheme="minorHAnsi"/>
        </w:rPr>
        <w:t>to</w:t>
      </w:r>
      <w:r w:rsidR="000B26B1" w:rsidRPr="00C316B0">
        <w:rPr>
          <w:rFonts w:asciiTheme="minorHAnsi" w:hAnsiTheme="minorHAnsi" w:cstheme="minorHAnsi"/>
        </w:rPr>
        <w:t xml:space="preserve"> l’attivo immobilizzato e che confluiscono a Conto Economico per il tramite di un processo di “ammortamento attivo”, come disposto dal PCA </w:t>
      </w:r>
      <w:r w:rsidR="00794A33" w:rsidRPr="00C316B0">
        <w:rPr>
          <w:rFonts w:asciiTheme="minorHAnsi" w:hAnsiTheme="minorHAnsi" w:cstheme="minorHAnsi"/>
        </w:rPr>
        <w:t xml:space="preserve">n. </w:t>
      </w:r>
      <w:r w:rsidR="000B26B1" w:rsidRPr="00C316B0">
        <w:rPr>
          <w:rFonts w:asciiTheme="minorHAnsi" w:hAnsiTheme="minorHAnsi" w:cstheme="minorHAnsi"/>
        </w:rPr>
        <w:t>4/3.</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Il dettaglio è rappresentato da:</w:t>
      </w:r>
    </w:p>
    <w:p w:rsidR="00B32C04" w:rsidRDefault="00B32C04" w:rsidP="00FD1C8A">
      <w:pPr>
        <w:jc w:val="both"/>
        <w:rPr>
          <w:rFonts w:asciiTheme="minorHAnsi" w:hAnsiTheme="minorHAnsi" w:cstheme="minorHAnsi"/>
        </w:rPr>
      </w:pPr>
    </w:p>
    <w:p w:rsidR="00D639E8" w:rsidRDefault="00D639E8" w:rsidP="00FD1C8A">
      <w:pPr>
        <w:jc w:val="both"/>
        <w:rPr>
          <w:rFonts w:asciiTheme="minorHAnsi" w:hAnsiTheme="minorHAnsi" w:cstheme="minorHAnsi"/>
        </w:rPr>
      </w:pPr>
    </w:p>
    <w:p w:rsidR="00D639E8" w:rsidRPr="00C316B0" w:rsidRDefault="00D639E8" w:rsidP="00FD1C8A">
      <w:pPr>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10"/>
        <w:gridCol w:w="4463"/>
        <w:gridCol w:w="1584"/>
        <w:gridCol w:w="1721"/>
      </w:tblGrid>
      <w:tr w:rsidR="001F7E32" w:rsidRPr="00C316B0" w:rsidTr="00D639E8">
        <w:trPr>
          <w:trHeight w:val="255"/>
        </w:trPr>
        <w:tc>
          <w:tcPr>
            <w:tcW w:w="1028" w:type="pct"/>
            <w:shd w:val="clear" w:color="DDEBF7" w:fill="DDEBF7"/>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282" w:type="pct"/>
            <w:shd w:val="clear" w:color="DDEBF7" w:fill="DDEBF7"/>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810" w:type="pct"/>
            <w:shd w:val="clear" w:color="DDEBF7" w:fill="DDEBF7"/>
            <w:noWrap/>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2018</w:t>
            </w:r>
          </w:p>
        </w:tc>
        <w:tc>
          <w:tcPr>
            <w:tcW w:w="880" w:type="pct"/>
            <w:shd w:val="clear" w:color="DDEBF7" w:fill="DDEBF7"/>
            <w:noWrap/>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2017</w:t>
            </w:r>
          </w:p>
        </w:tc>
      </w:tr>
      <w:tr w:rsidR="00987915" w:rsidRPr="00987915" w:rsidTr="00987915">
        <w:trPr>
          <w:trHeight w:val="255"/>
        </w:trPr>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987915" w:rsidRPr="00987915" w:rsidRDefault="00987915" w:rsidP="00987915">
            <w:pPr>
              <w:rPr>
                <w:rFonts w:asciiTheme="minorHAnsi" w:hAnsiTheme="minorHAnsi" w:cstheme="minorHAnsi"/>
                <w:bCs/>
                <w:color w:val="000000"/>
                <w:sz w:val="20"/>
              </w:rPr>
            </w:pPr>
            <w:r w:rsidRPr="00987915">
              <w:rPr>
                <w:rFonts w:asciiTheme="minorHAnsi" w:hAnsiTheme="minorHAnsi" w:cstheme="minorHAnsi"/>
                <w:bCs/>
                <w:color w:val="000000"/>
                <w:sz w:val="20"/>
              </w:rPr>
              <w:t>EII1a - da altre amministrazioni pubbliche</w:t>
            </w:r>
          </w:p>
        </w:tc>
        <w:tc>
          <w:tcPr>
            <w:tcW w:w="2282" w:type="pct"/>
            <w:tcBorders>
              <w:top w:val="single" w:sz="4" w:space="0" w:color="auto"/>
              <w:left w:val="single" w:sz="4" w:space="0" w:color="auto"/>
              <w:bottom w:val="single" w:sz="4" w:space="0" w:color="auto"/>
              <w:right w:val="single" w:sz="4" w:space="0" w:color="auto"/>
            </w:tcBorders>
            <w:shd w:val="clear" w:color="auto" w:fill="auto"/>
            <w:hideMark/>
          </w:tcPr>
          <w:p w:rsidR="00987915" w:rsidRPr="00987915" w:rsidRDefault="00987915" w:rsidP="00987915">
            <w:pPr>
              <w:rPr>
                <w:rFonts w:asciiTheme="minorHAnsi" w:hAnsiTheme="minorHAnsi" w:cstheme="minorHAnsi"/>
                <w:bCs/>
                <w:color w:val="000000"/>
                <w:sz w:val="20"/>
              </w:rPr>
            </w:pPr>
            <w:r w:rsidRPr="00987915">
              <w:rPr>
                <w:rFonts w:asciiTheme="minorHAnsi" w:hAnsiTheme="minorHAnsi" w:cstheme="minorHAnsi"/>
                <w:bCs/>
                <w:color w:val="000000"/>
                <w:sz w:val="20"/>
              </w:rPr>
              <w:t>2.5.3.01.01.02.001 - Contributi agli investimenti da Regioni e province autonome</w:t>
            </w:r>
          </w:p>
        </w:tc>
        <w:tc>
          <w:tcPr>
            <w:tcW w:w="810" w:type="pct"/>
            <w:tcBorders>
              <w:top w:val="single" w:sz="4" w:space="0" w:color="auto"/>
              <w:left w:val="single" w:sz="4" w:space="0" w:color="auto"/>
              <w:bottom w:val="single" w:sz="4" w:space="0" w:color="auto"/>
              <w:right w:val="single" w:sz="4" w:space="0" w:color="auto"/>
            </w:tcBorders>
            <w:shd w:val="clear" w:color="auto" w:fill="auto"/>
            <w:noWrap/>
            <w:hideMark/>
          </w:tcPr>
          <w:p w:rsidR="00987915" w:rsidRPr="00987915" w:rsidRDefault="00D400A2" w:rsidP="00987915">
            <w:pPr>
              <w:jc w:val="right"/>
              <w:rPr>
                <w:rFonts w:asciiTheme="minorHAnsi" w:hAnsiTheme="minorHAnsi" w:cstheme="minorHAnsi"/>
                <w:bCs/>
                <w:color w:val="000000"/>
                <w:sz w:val="20"/>
              </w:rPr>
            </w:pPr>
            <w:r w:rsidRPr="00D400A2">
              <w:rPr>
                <w:rFonts w:asciiTheme="minorHAnsi" w:hAnsiTheme="minorHAnsi" w:cstheme="minorHAnsi"/>
                <w:bCs/>
                <w:color w:val="000000"/>
                <w:sz w:val="20"/>
              </w:rPr>
              <w:t>574.891,50</w:t>
            </w:r>
          </w:p>
        </w:tc>
        <w:tc>
          <w:tcPr>
            <w:tcW w:w="880" w:type="pct"/>
            <w:tcBorders>
              <w:top w:val="single" w:sz="4" w:space="0" w:color="auto"/>
              <w:left w:val="single" w:sz="4" w:space="0" w:color="auto"/>
              <w:bottom w:val="single" w:sz="4" w:space="0" w:color="auto"/>
              <w:right w:val="single" w:sz="4" w:space="0" w:color="auto"/>
            </w:tcBorders>
            <w:shd w:val="clear" w:color="auto" w:fill="auto"/>
            <w:noWrap/>
            <w:hideMark/>
          </w:tcPr>
          <w:p w:rsidR="00987915" w:rsidRPr="00987915" w:rsidRDefault="00987915" w:rsidP="00987915">
            <w:pPr>
              <w:jc w:val="right"/>
              <w:rPr>
                <w:rFonts w:asciiTheme="minorHAnsi" w:hAnsiTheme="minorHAnsi" w:cstheme="minorHAnsi"/>
                <w:bCs/>
                <w:color w:val="000000"/>
                <w:sz w:val="20"/>
              </w:rPr>
            </w:pPr>
            <w:r w:rsidRPr="00987915">
              <w:rPr>
                <w:rFonts w:asciiTheme="minorHAnsi" w:hAnsiTheme="minorHAnsi" w:cstheme="minorHAnsi"/>
                <w:bCs/>
                <w:color w:val="000000"/>
                <w:sz w:val="20"/>
              </w:rPr>
              <w:t>560.385,47</w:t>
            </w:r>
          </w:p>
        </w:tc>
      </w:tr>
      <w:tr w:rsidR="001F7E32" w:rsidRPr="00C316B0" w:rsidTr="00D639E8">
        <w:trPr>
          <w:trHeight w:val="176"/>
        </w:trPr>
        <w:tc>
          <w:tcPr>
            <w:tcW w:w="1028" w:type="pct"/>
            <w:shd w:val="clear" w:color="auto" w:fill="auto"/>
            <w:vAlign w:val="bottom"/>
          </w:tcPr>
          <w:p w:rsidR="00B32C04" w:rsidRPr="00C316B0" w:rsidRDefault="00B32C04" w:rsidP="00FD1C8A">
            <w:pPr>
              <w:jc w:val="both"/>
              <w:rPr>
                <w:rFonts w:asciiTheme="minorHAnsi" w:hAnsiTheme="minorHAnsi" w:cstheme="minorHAnsi"/>
                <w:bCs/>
                <w:color w:val="000000"/>
              </w:rPr>
            </w:pPr>
          </w:p>
        </w:tc>
        <w:tc>
          <w:tcPr>
            <w:tcW w:w="2282" w:type="pct"/>
            <w:shd w:val="clear" w:color="auto" w:fill="auto"/>
            <w:vAlign w:val="bottom"/>
          </w:tcPr>
          <w:p w:rsidR="00B32C04" w:rsidRPr="00C316B0" w:rsidRDefault="00B32C04" w:rsidP="00FD1C8A">
            <w:pPr>
              <w:jc w:val="both"/>
              <w:rPr>
                <w:rFonts w:asciiTheme="minorHAnsi" w:hAnsiTheme="minorHAnsi" w:cstheme="minorHAnsi"/>
              </w:rPr>
            </w:pPr>
          </w:p>
        </w:tc>
        <w:tc>
          <w:tcPr>
            <w:tcW w:w="810" w:type="pct"/>
            <w:shd w:val="clear" w:color="auto" w:fill="auto"/>
            <w:noWrap/>
            <w:vAlign w:val="bottom"/>
          </w:tcPr>
          <w:p w:rsidR="00B32C04" w:rsidRPr="00C316B0" w:rsidRDefault="00B32C04" w:rsidP="00FD1C8A">
            <w:pPr>
              <w:jc w:val="both"/>
              <w:rPr>
                <w:rFonts w:asciiTheme="minorHAnsi" w:hAnsiTheme="minorHAnsi" w:cstheme="minorHAnsi"/>
              </w:rPr>
            </w:pPr>
          </w:p>
        </w:tc>
        <w:tc>
          <w:tcPr>
            <w:tcW w:w="880" w:type="pct"/>
            <w:shd w:val="clear" w:color="auto" w:fill="auto"/>
            <w:noWrap/>
            <w:vAlign w:val="bottom"/>
          </w:tcPr>
          <w:p w:rsidR="00B32C04" w:rsidRPr="00C316B0" w:rsidRDefault="00B32C04" w:rsidP="00FD1C8A">
            <w:pPr>
              <w:jc w:val="both"/>
              <w:rPr>
                <w:rFonts w:asciiTheme="minorHAnsi" w:hAnsiTheme="minorHAnsi" w:cstheme="minorHAnsi"/>
              </w:rPr>
            </w:pPr>
          </w:p>
        </w:tc>
      </w:tr>
    </w:tbl>
    <w:p w:rsidR="00D639E8" w:rsidRDefault="00D639E8" w:rsidP="00FD1C8A">
      <w:pPr>
        <w:pStyle w:val="Titolo2"/>
        <w:jc w:val="both"/>
        <w:rPr>
          <w:rFonts w:asciiTheme="minorHAnsi" w:hAnsiTheme="minorHAnsi" w:cstheme="minorHAnsi"/>
          <w:b w:val="0"/>
          <w:sz w:val="24"/>
          <w:szCs w:val="24"/>
        </w:rPr>
      </w:pPr>
      <w:bookmarkStart w:id="4" w:name="_Toc509783930"/>
    </w:p>
    <w:p w:rsidR="00D639E8" w:rsidRDefault="00D639E8" w:rsidP="00FD1C8A">
      <w:pPr>
        <w:pStyle w:val="Titolo2"/>
        <w:jc w:val="both"/>
        <w:rPr>
          <w:rFonts w:asciiTheme="minorHAnsi" w:hAnsiTheme="minorHAnsi" w:cstheme="minorHAnsi"/>
          <w:b w:val="0"/>
          <w:sz w:val="24"/>
          <w:szCs w:val="24"/>
        </w:rPr>
      </w:pPr>
    </w:p>
    <w:p w:rsidR="0089151D" w:rsidRDefault="0089151D" w:rsidP="00FD1C8A">
      <w:pPr>
        <w:spacing w:after="160" w:line="259" w:lineRule="auto"/>
        <w:jc w:val="both"/>
        <w:rPr>
          <w:rFonts w:asciiTheme="minorHAnsi" w:hAnsiTheme="minorHAnsi" w:cstheme="minorHAnsi"/>
        </w:rPr>
      </w:pPr>
    </w:p>
    <w:p w:rsidR="0089151D" w:rsidRDefault="0089151D" w:rsidP="00FD1C8A">
      <w:pPr>
        <w:spacing w:after="160" w:line="259" w:lineRule="auto"/>
        <w:jc w:val="both"/>
        <w:rPr>
          <w:rFonts w:asciiTheme="minorHAnsi" w:hAnsiTheme="minorHAnsi" w:cstheme="minorHAnsi"/>
        </w:rPr>
      </w:pPr>
    </w:p>
    <w:p w:rsidR="0089151D" w:rsidRPr="008D3A2A" w:rsidRDefault="0089151D" w:rsidP="0089151D">
      <w:pPr>
        <w:jc w:val="both"/>
        <w:rPr>
          <w:rFonts w:asciiTheme="minorHAnsi" w:hAnsiTheme="minorHAnsi" w:cstheme="minorHAnsi"/>
          <w:b/>
        </w:rPr>
      </w:pPr>
      <w:r w:rsidRPr="008D3A2A">
        <w:rPr>
          <w:rFonts w:asciiTheme="minorHAnsi" w:hAnsiTheme="minorHAnsi" w:cstheme="minorHAnsi"/>
          <w:b/>
        </w:rPr>
        <w:t>CONTI D’ORDINE</w:t>
      </w:r>
    </w:p>
    <w:p w:rsidR="0089151D" w:rsidRDefault="0089151D" w:rsidP="0089151D">
      <w:pPr>
        <w:jc w:val="both"/>
        <w:rPr>
          <w:rFonts w:asciiTheme="minorHAnsi" w:hAnsiTheme="minorHAnsi" w:cstheme="minorHAnsi"/>
        </w:rPr>
      </w:pPr>
    </w:p>
    <w:p w:rsidR="0089151D" w:rsidRPr="00C316B0" w:rsidRDefault="0089151D" w:rsidP="0089151D">
      <w:pPr>
        <w:jc w:val="both"/>
        <w:rPr>
          <w:rFonts w:asciiTheme="minorHAnsi" w:hAnsiTheme="minorHAnsi" w:cstheme="minorHAnsi"/>
        </w:rPr>
      </w:pPr>
      <w:r>
        <w:rPr>
          <w:rFonts w:asciiTheme="minorHAnsi" w:hAnsiTheme="minorHAnsi" w:cstheme="minorHAnsi"/>
        </w:rPr>
        <w:t xml:space="preserve">Sono stati rilevati “Impegni su esercizi futuri” per € </w:t>
      </w:r>
      <w:r w:rsidR="00987915">
        <w:rPr>
          <w:rFonts w:asciiTheme="minorHAnsi" w:hAnsiTheme="minorHAnsi" w:cstheme="minorHAnsi"/>
        </w:rPr>
        <w:t>8.532,80</w:t>
      </w:r>
      <w:r>
        <w:rPr>
          <w:rFonts w:asciiTheme="minorHAnsi" w:hAnsiTheme="minorHAnsi" w:cstheme="minorHAnsi"/>
        </w:rPr>
        <w:t>, importo pari agli impegni assunti in esercizi successivi al 2018 con il Fondo Pluriennale Vincolato.</w:t>
      </w:r>
    </w:p>
    <w:p w:rsidR="00484AE1" w:rsidRPr="00C316B0" w:rsidRDefault="00484AE1" w:rsidP="00FD1C8A">
      <w:pPr>
        <w:spacing w:after="160" w:line="259" w:lineRule="auto"/>
        <w:jc w:val="both"/>
        <w:rPr>
          <w:rFonts w:asciiTheme="minorHAnsi" w:eastAsiaTheme="majorEastAsia" w:hAnsiTheme="minorHAnsi" w:cstheme="minorHAnsi"/>
          <w:b/>
          <w:color w:val="000000" w:themeColor="text1"/>
          <w:lang w:eastAsia="en-US"/>
        </w:rPr>
      </w:pPr>
      <w:r w:rsidRPr="00C316B0">
        <w:rPr>
          <w:rFonts w:asciiTheme="minorHAnsi" w:hAnsiTheme="minorHAnsi" w:cstheme="minorHAnsi"/>
        </w:rPr>
        <w:br w:type="page"/>
      </w:r>
    </w:p>
    <w:p w:rsidR="005F7CA9" w:rsidRPr="00C316B0" w:rsidRDefault="005F7CA9" w:rsidP="00FD1C8A">
      <w:pPr>
        <w:pStyle w:val="Titolo2"/>
        <w:jc w:val="both"/>
        <w:rPr>
          <w:rFonts w:asciiTheme="minorHAnsi" w:hAnsiTheme="minorHAnsi" w:cstheme="minorHAnsi"/>
          <w:sz w:val="24"/>
          <w:szCs w:val="24"/>
        </w:rPr>
      </w:pPr>
      <w:r w:rsidRPr="00C316B0">
        <w:rPr>
          <w:rFonts w:asciiTheme="minorHAnsi" w:hAnsiTheme="minorHAnsi" w:cstheme="minorHAnsi"/>
          <w:sz w:val="24"/>
          <w:szCs w:val="24"/>
        </w:rPr>
        <w:lastRenderedPageBreak/>
        <w:t>IL CONTO ECONOMICO</w:t>
      </w:r>
      <w:bookmarkEnd w:id="4"/>
    </w:p>
    <w:p w:rsidR="005F7CA9" w:rsidRPr="00C316B0" w:rsidRDefault="005F7CA9"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 xml:space="preserve">Il Conto Economico è stato redatto, ai sensi del </w:t>
      </w:r>
      <w:r w:rsidR="00794A33" w:rsidRPr="00C316B0">
        <w:rPr>
          <w:rFonts w:asciiTheme="minorHAnsi" w:hAnsiTheme="minorHAnsi" w:cstheme="minorHAnsi"/>
        </w:rPr>
        <w:t>PCA n. 4/3</w:t>
      </w:r>
      <w:r w:rsidRPr="00C316B0">
        <w:rPr>
          <w:rFonts w:asciiTheme="minorHAnsi" w:hAnsiTheme="minorHAnsi" w:cstheme="minorHAnsi"/>
        </w:rPr>
        <w:t>, applicando il principio di competenza economica</w:t>
      </w:r>
      <w:r w:rsidR="00794A33" w:rsidRPr="00C316B0">
        <w:rPr>
          <w:rFonts w:asciiTheme="minorHAnsi" w:hAnsiTheme="minorHAnsi" w:cstheme="minorHAnsi"/>
        </w:rPr>
        <w:t xml:space="preserve"> agli accertamenti di entrata e impegni di spesa. Tale principio</w:t>
      </w:r>
      <w:r w:rsidRPr="00C316B0">
        <w:rPr>
          <w:rFonts w:asciiTheme="minorHAnsi" w:hAnsiTheme="minorHAnsi" w:cstheme="minorHAnsi"/>
        </w:rPr>
        <w:t xml:space="preserve"> prevede che un costo sia di competenza nell’esercizio</w:t>
      </w:r>
      <w:r w:rsidR="00794A33" w:rsidRPr="00C316B0">
        <w:rPr>
          <w:rFonts w:asciiTheme="minorHAnsi" w:hAnsiTheme="minorHAnsi" w:cstheme="minorHAnsi"/>
        </w:rPr>
        <w:t xml:space="preserve"> in cui</w:t>
      </w:r>
      <w:r w:rsidRPr="00C316B0">
        <w:rPr>
          <w:rFonts w:asciiTheme="minorHAnsi" w:hAnsiTheme="minorHAnsi" w:cstheme="minorHAnsi"/>
        </w:rPr>
        <w:t xml:space="preserve"> si manifestano i ricavi</w:t>
      </w:r>
      <w:r w:rsidR="00DB62E2" w:rsidRPr="00C316B0">
        <w:rPr>
          <w:rFonts w:asciiTheme="minorHAnsi" w:hAnsiTheme="minorHAnsi" w:cstheme="minorHAnsi"/>
        </w:rPr>
        <w:t xml:space="preserve"> ad essi riconducibili.</w:t>
      </w:r>
    </w:p>
    <w:p w:rsidR="00C51302" w:rsidRPr="00C316B0" w:rsidRDefault="00C51302" w:rsidP="00FD1C8A">
      <w:pPr>
        <w:jc w:val="both"/>
        <w:rPr>
          <w:rFonts w:asciiTheme="minorHAnsi" w:hAnsiTheme="minorHAnsi" w:cstheme="minorHAnsi"/>
        </w:rPr>
      </w:pPr>
    </w:p>
    <w:p w:rsidR="005F7CA9" w:rsidRPr="00C316B0" w:rsidRDefault="005F7CA9" w:rsidP="00FD1C8A">
      <w:pPr>
        <w:pStyle w:val="Titolo2"/>
        <w:jc w:val="both"/>
        <w:rPr>
          <w:rFonts w:asciiTheme="minorHAnsi" w:hAnsiTheme="minorHAnsi" w:cstheme="minorHAnsi"/>
          <w:sz w:val="24"/>
          <w:szCs w:val="24"/>
        </w:rPr>
      </w:pPr>
      <w:bookmarkStart w:id="5" w:name="_Toc509783931"/>
      <w:r w:rsidRPr="00C316B0">
        <w:rPr>
          <w:rFonts w:asciiTheme="minorHAnsi" w:hAnsiTheme="minorHAnsi" w:cstheme="minorHAnsi"/>
          <w:sz w:val="24"/>
          <w:szCs w:val="24"/>
        </w:rPr>
        <w:t>LA GESTIONE CARATTERISTICA</w:t>
      </w:r>
      <w:bookmarkEnd w:id="5"/>
    </w:p>
    <w:p w:rsidR="00C51302" w:rsidRPr="00C316B0" w:rsidRDefault="00C51302" w:rsidP="00FD1C8A">
      <w:pPr>
        <w:jc w:val="both"/>
        <w:rPr>
          <w:rFonts w:asciiTheme="minorHAnsi" w:hAnsiTheme="minorHAnsi" w:cstheme="minorHAnsi"/>
          <w:lang w:eastAsia="en-US"/>
        </w:rPr>
      </w:pP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t>I RICAVI D’ESERCIZIO</w:t>
      </w:r>
    </w:p>
    <w:p w:rsidR="00C51302" w:rsidRPr="00C316B0" w:rsidRDefault="00C51302" w:rsidP="00FD1C8A">
      <w:pPr>
        <w:jc w:val="both"/>
        <w:rPr>
          <w:rFonts w:asciiTheme="minorHAnsi" w:hAnsiTheme="minorHAnsi" w:cstheme="minorHAnsi"/>
          <w:b/>
        </w:rPr>
      </w:pP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 ricavi della gestione caratteristica, iscritti esclusivamente per la quota di competenza dell’esercizio, ammontano a milioni di euro ed il dettaglio è rappresentato dalla seguente tabella:</w:t>
      </w:r>
    </w:p>
    <w:p w:rsidR="00BD174C" w:rsidRPr="00C316B0" w:rsidRDefault="00BD174C" w:rsidP="00FD1C8A">
      <w:pPr>
        <w:jc w:val="both"/>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87"/>
        <w:gridCol w:w="5614"/>
        <w:gridCol w:w="1583"/>
      </w:tblGrid>
      <w:tr w:rsidR="001F7E32" w:rsidRPr="00C316B0" w:rsidTr="0042050F">
        <w:trPr>
          <w:trHeight w:val="255"/>
        </w:trPr>
        <w:tc>
          <w:tcPr>
            <w:tcW w:w="1322" w:type="pct"/>
            <w:shd w:val="clear" w:color="DDEBF7" w:fill="DDEBF7"/>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869" w:type="pct"/>
            <w:shd w:val="clear" w:color="DDEBF7" w:fill="DDEBF7"/>
            <w:vAlign w:val="bottom"/>
            <w:hideMark/>
          </w:tcPr>
          <w:p w:rsidR="001F7E32" w:rsidRPr="00C316B0" w:rsidRDefault="001F7E32" w:rsidP="00FD1C8A">
            <w:pPr>
              <w:jc w:val="both"/>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809" w:type="pct"/>
            <w:shd w:val="clear" w:color="DDEBF7" w:fill="DDEBF7"/>
            <w:noWrap/>
            <w:hideMark/>
          </w:tcPr>
          <w:p w:rsidR="001F7E32" w:rsidRPr="00C316B0" w:rsidRDefault="001F7E32" w:rsidP="00D639E8">
            <w:pPr>
              <w:jc w:val="right"/>
              <w:rPr>
                <w:rFonts w:asciiTheme="minorHAnsi" w:hAnsiTheme="minorHAnsi" w:cstheme="minorHAnsi"/>
                <w:b/>
                <w:bCs/>
                <w:color w:val="000000"/>
              </w:rPr>
            </w:pPr>
            <w:r w:rsidRPr="00C316B0">
              <w:rPr>
                <w:rFonts w:asciiTheme="minorHAnsi" w:hAnsiTheme="minorHAnsi" w:cstheme="minorHAnsi"/>
                <w:b/>
                <w:bCs/>
                <w:color w:val="000000"/>
              </w:rPr>
              <w:t>2018</w:t>
            </w:r>
          </w:p>
        </w:tc>
      </w:tr>
      <w:tr w:rsidR="001F7E32" w:rsidRPr="00B674B3" w:rsidTr="0042050F">
        <w:trPr>
          <w:trHeight w:val="332"/>
        </w:trPr>
        <w:tc>
          <w:tcPr>
            <w:tcW w:w="1322" w:type="pct"/>
            <w:shd w:val="clear" w:color="auto" w:fill="auto"/>
            <w:vAlign w:val="bottom"/>
          </w:tcPr>
          <w:p w:rsidR="001F7E32" w:rsidRPr="00B674B3" w:rsidRDefault="001F7E32" w:rsidP="00FD1C8A">
            <w:pPr>
              <w:jc w:val="both"/>
              <w:rPr>
                <w:rFonts w:asciiTheme="minorHAnsi" w:hAnsiTheme="minorHAnsi" w:cstheme="minorHAnsi"/>
                <w:bCs/>
                <w:color w:val="000000"/>
              </w:rPr>
            </w:pPr>
          </w:p>
        </w:tc>
        <w:tc>
          <w:tcPr>
            <w:tcW w:w="2869" w:type="pct"/>
            <w:shd w:val="clear" w:color="auto" w:fill="auto"/>
            <w:vAlign w:val="bottom"/>
          </w:tcPr>
          <w:p w:rsidR="00D639E8" w:rsidRPr="00B674B3" w:rsidRDefault="00D639E8" w:rsidP="00FD1C8A">
            <w:pPr>
              <w:jc w:val="both"/>
              <w:rPr>
                <w:rFonts w:asciiTheme="minorHAnsi" w:hAnsiTheme="minorHAnsi" w:cstheme="minorHAnsi"/>
              </w:rPr>
            </w:pPr>
          </w:p>
        </w:tc>
        <w:tc>
          <w:tcPr>
            <w:tcW w:w="809" w:type="pct"/>
            <w:shd w:val="clear" w:color="auto" w:fill="auto"/>
            <w:noWrap/>
          </w:tcPr>
          <w:p w:rsidR="001F7E32" w:rsidRPr="00B674B3" w:rsidRDefault="001F7E32" w:rsidP="00D639E8">
            <w:pPr>
              <w:jc w:val="right"/>
              <w:rPr>
                <w:rFonts w:asciiTheme="minorHAnsi" w:hAnsiTheme="minorHAnsi" w:cstheme="minorHAnsi"/>
              </w:rPr>
            </w:pP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A1 - Proventi da tributi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1.1.1.01.06.001 - Imposta municipale propria riscossa a seguito dell</w:t>
            </w:r>
            <w:r>
              <w:rPr>
                <w:rFonts w:asciiTheme="minorHAnsi" w:hAnsiTheme="minorHAnsi" w:cstheme="minorHAnsi"/>
                <w:sz w:val="22"/>
              </w:rPr>
              <w:t>’attività</w:t>
            </w:r>
            <w:r w:rsidRPr="00DB1FA3">
              <w:rPr>
                <w:rFonts w:asciiTheme="minorHAnsi" w:hAnsiTheme="minorHAnsi" w:cstheme="minorHAnsi"/>
                <w:sz w:val="22"/>
              </w:rPr>
              <w:t xml:space="preserve"> ordinaria di gestione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50.113,33</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A1 - Proventi da tributi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1.1.1.01.52.001 - Tassa occupazione spazi e aree pubbliche riscossa a seguito dell</w:t>
            </w:r>
            <w:r>
              <w:rPr>
                <w:rFonts w:asciiTheme="minorHAnsi" w:hAnsiTheme="minorHAnsi" w:cstheme="minorHAnsi"/>
                <w:sz w:val="22"/>
              </w:rPr>
              <w:t>’</w:t>
            </w:r>
            <w:r w:rsidRPr="00DB1FA3">
              <w:rPr>
                <w:rFonts w:asciiTheme="minorHAnsi" w:hAnsiTheme="minorHAnsi" w:cstheme="minorHAnsi"/>
                <w:sz w:val="22"/>
              </w:rPr>
              <w:t>attivit</w:t>
            </w:r>
            <w:r>
              <w:rPr>
                <w:rFonts w:asciiTheme="minorHAnsi" w:hAnsiTheme="minorHAnsi" w:cstheme="minorHAnsi"/>
                <w:sz w:val="22"/>
              </w:rPr>
              <w:t>à</w:t>
            </w:r>
            <w:r w:rsidRPr="00DB1FA3">
              <w:rPr>
                <w:rFonts w:asciiTheme="minorHAnsi" w:hAnsiTheme="minorHAnsi" w:cstheme="minorHAnsi"/>
                <w:sz w:val="22"/>
              </w:rPr>
              <w:t xml:space="preserve"> ordinaria di gestione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1.071,55</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A1 - Proventi da tributi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1.1.1.01.53.001 - Imposta comunale sulla pubblicit</w:t>
            </w:r>
            <w:r>
              <w:rPr>
                <w:rFonts w:asciiTheme="minorHAnsi" w:hAnsiTheme="minorHAnsi" w:cstheme="minorHAnsi"/>
                <w:sz w:val="22"/>
              </w:rPr>
              <w:t>à</w:t>
            </w:r>
            <w:r w:rsidRPr="00DB1FA3">
              <w:rPr>
                <w:rFonts w:asciiTheme="minorHAnsi" w:hAnsiTheme="minorHAnsi" w:cstheme="minorHAnsi"/>
                <w:sz w:val="22"/>
              </w:rPr>
              <w:t xml:space="preserve"> e diritto sulle pubbliche affissioni riscossa a seguito dell</w:t>
            </w:r>
            <w:r>
              <w:rPr>
                <w:rFonts w:asciiTheme="minorHAnsi" w:hAnsiTheme="minorHAnsi" w:cstheme="minorHAnsi"/>
                <w:sz w:val="22"/>
              </w:rPr>
              <w:t>’</w:t>
            </w:r>
            <w:r w:rsidRPr="00DB1FA3">
              <w:rPr>
                <w:rFonts w:asciiTheme="minorHAnsi" w:hAnsiTheme="minorHAnsi" w:cstheme="minorHAnsi"/>
                <w:sz w:val="22"/>
              </w:rPr>
              <w:t>attivit</w:t>
            </w:r>
            <w:r>
              <w:rPr>
                <w:rFonts w:asciiTheme="minorHAnsi" w:hAnsiTheme="minorHAnsi" w:cstheme="minorHAnsi"/>
                <w:sz w:val="22"/>
              </w:rPr>
              <w:t>à</w:t>
            </w:r>
            <w:r w:rsidRPr="00DB1FA3">
              <w:rPr>
                <w:rFonts w:asciiTheme="minorHAnsi" w:hAnsiTheme="minorHAnsi" w:cstheme="minorHAnsi"/>
                <w:sz w:val="22"/>
              </w:rPr>
              <w:t xml:space="preserve"> ordinaria di gestione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336,07</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A1 - Proventi da tributi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1.1.1.01.61.001 - Tributo comunale sui rifiuti e sui servizi</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39.280,42</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A1 - Proventi da tributi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1.1.1.01.76.001 - Tributo per i servizi indivisibili (TASI) riscosso a seguito dell</w:t>
            </w:r>
            <w:r>
              <w:rPr>
                <w:rFonts w:asciiTheme="minorHAnsi" w:hAnsiTheme="minorHAnsi" w:cstheme="minorHAnsi"/>
                <w:sz w:val="22"/>
              </w:rPr>
              <w:t>’</w:t>
            </w:r>
            <w:r w:rsidRPr="00DB1FA3">
              <w:rPr>
                <w:rFonts w:asciiTheme="minorHAnsi" w:hAnsiTheme="minorHAnsi" w:cstheme="minorHAnsi"/>
                <w:sz w:val="22"/>
              </w:rPr>
              <w:t>attivit</w:t>
            </w:r>
            <w:r>
              <w:rPr>
                <w:rFonts w:asciiTheme="minorHAnsi" w:hAnsiTheme="minorHAnsi" w:cstheme="minorHAnsi"/>
                <w:sz w:val="22"/>
              </w:rPr>
              <w:t>à</w:t>
            </w:r>
            <w:r w:rsidRPr="00DB1FA3">
              <w:rPr>
                <w:rFonts w:asciiTheme="minorHAnsi" w:hAnsiTheme="minorHAnsi" w:cstheme="minorHAnsi"/>
                <w:sz w:val="22"/>
              </w:rPr>
              <w:t xml:space="preserve"> ordinaria di gestione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136</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A1 - Proventi da tributi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1.1.1.04.06.001 - Compartecipazione IRPEF ai Comuni</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17.654,82</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A2 - Proventi da fondi perequativi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1.1.3.01.01.001 - Fondi perequativi dallo Stato</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109.469,76</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A3a - Proventi da trasferimenti correnti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1.3.1.01.01.001 - Trasferimenti correnti da Ministeri</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2.862,49</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A3a - Proventi da trasferimenti correnti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1.3.1.01.02.001 - Trasferimenti correnti da Regioni e province autonome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136.996,19</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A3a - Proventi da trasferimenti correnti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1.3.1.03.99.999 - Altri trasferimenti correnti da altre imprese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18.928,64</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A3b - Quota annuale di contributi agli investimenti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1.3.3.01.02.001 - Quota annuale di contributi agli investimenti da Regioni e province autonome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9.652,45</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A3c - Contributi agli investimenti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1.3.2.01.02.001 - Contributi agli investimenti da Regioni e province autonome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0</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A4a - Proventi derivanti dalla gestione dei beni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1.2.4.02.02.001 - Noleggi e locazioni di altri beni immobili</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6.202,98</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A4b - Ricavi della vendita di beni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1.2.1.01.99.001 - Proventi da vendita di beni n.a.c.</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2D362E" w:rsidP="00DB1FA3">
            <w:pPr>
              <w:jc w:val="right"/>
              <w:rPr>
                <w:rFonts w:asciiTheme="minorHAnsi" w:hAnsiTheme="minorHAnsi" w:cstheme="minorHAnsi"/>
              </w:rPr>
            </w:pPr>
            <w:r>
              <w:rPr>
                <w:rFonts w:asciiTheme="minorHAnsi" w:hAnsiTheme="minorHAnsi" w:cstheme="minorHAnsi"/>
                <w:sz w:val="22"/>
              </w:rPr>
              <w:t>3.584,32</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1.2.2.01.06.001 - Ricavi da impianti sportivi</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910</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1.2.2.01.08.001 - Ricavi da mense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1.004,32</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1.2.2.01.14.001 - Ricavi da trasporti funebri, pompe funebri, illuminazione votiva</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6.760,30</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lastRenderedPageBreak/>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1.2.2.01.16.001 - Ricavi da trasporto scolastico</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2.169,00</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1.2.2.01.32.001 - Diritti di segreteria e rogito</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46,9</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1.2.2.01.33.001 - Rilascio documenti e diritti di cancelleria</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129</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A4c - Ricavi e proventi dalla prestazione di servizi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1.2.2.01.99.999 - Ricavi da servizi n.a.c.</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26.436,73</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A8 - Altri ricavi e proventi diversi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1.4.2.01.01.001 - Multe, ammende, sanzioni e oblazioni a carico delle amministrazioni pubbliche</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516</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A8 - Altri ricavi e proventi diversi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1.4.3.03.02.001 - Entrate da rimborsi, recuperi e restituzioni di somme non dovute o incassate in eccesso da Amministrazioni Locali</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992,01</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A8 - Altri ricavi e proventi diversi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1.4.3.03.08.001 - Entrate da rimborsi, recuperi e restituzioni di somme non dovute o incassate in eccesso dal resto del mondo</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4,3</w:t>
            </w:r>
          </w:p>
        </w:tc>
      </w:tr>
      <w:tr w:rsidR="00DB1FA3" w:rsidRPr="00DB1FA3" w:rsidTr="00DB1FA3">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bCs/>
                <w:color w:val="000000"/>
              </w:rPr>
            </w:pPr>
            <w:r w:rsidRPr="00DB1FA3">
              <w:rPr>
                <w:rFonts w:asciiTheme="minorHAnsi" w:hAnsiTheme="minorHAnsi" w:cstheme="minorHAnsi"/>
                <w:bCs/>
                <w:color w:val="000000"/>
                <w:sz w:val="22"/>
              </w:rPr>
              <w:t>A8 - Altri ricavi e proventi diversi</w:t>
            </w: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DB1FA3" w:rsidRPr="00DB1FA3" w:rsidRDefault="00DB1FA3" w:rsidP="00DB1FA3">
            <w:pPr>
              <w:rPr>
                <w:rFonts w:asciiTheme="minorHAnsi" w:hAnsiTheme="minorHAnsi" w:cstheme="minorHAnsi"/>
              </w:rPr>
            </w:pPr>
            <w:r w:rsidRPr="00DB1FA3">
              <w:rPr>
                <w:rFonts w:asciiTheme="minorHAnsi" w:hAnsiTheme="minorHAnsi" w:cstheme="minorHAnsi"/>
                <w:sz w:val="22"/>
              </w:rPr>
              <w:t>1.4.9.99.01.001 - Altri proventi n.a.c.</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DB1FA3" w:rsidRPr="00DB1FA3" w:rsidRDefault="00DB1FA3" w:rsidP="00DB1FA3">
            <w:pPr>
              <w:jc w:val="right"/>
              <w:rPr>
                <w:rFonts w:asciiTheme="minorHAnsi" w:hAnsiTheme="minorHAnsi" w:cstheme="minorHAnsi"/>
              </w:rPr>
            </w:pPr>
            <w:r w:rsidRPr="00DB1FA3">
              <w:rPr>
                <w:rFonts w:asciiTheme="minorHAnsi" w:hAnsiTheme="minorHAnsi" w:cstheme="minorHAnsi"/>
                <w:sz w:val="22"/>
              </w:rPr>
              <w:t>5.432,87</w:t>
            </w:r>
          </w:p>
        </w:tc>
      </w:tr>
      <w:tr w:rsidR="0042050F" w:rsidRPr="0042050F" w:rsidTr="0042050F">
        <w:trPr>
          <w:trHeight w:val="332"/>
        </w:trPr>
        <w:tc>
          <w:tcPr>
            <w:tcW w:w="1322" w:type="pct"/>
            <w:tcBorders>
              <w:top w:val="single" w:sz="4" w:space="0" w:color="auto"/>
              <w:left w:val="single" w:sz="4" w:space="0" w:color="auto"/>
              <w:bottom w:val="single" w:sz="4" w:space="0" w:color="auto"/>
              <w:right w:val="single" w:sz="4" w:space="0" w:color="auto"/>
            </w:tcBorders>
            <w:shd w:val="clear" w:color="auto" w:fill="auto"/>
          </w:tcPr>
          <w:p w:rsidR="0042050F" w:rsidRPr="0042050F" w:rsidRDefault="0042050F" w:rsidP="00D639E8">
            <w:pPr>
              <w:rPr>
                <w:rFonts w:asciiTheme="minorHAnsi" w:hAnsiTheme="minorHAnsi" w:cstheme="minorHAnsi"/>
                <w:b/>
                <w:bCs/>
                <w:color w:val="000000"/>
              </w:rPr>
            </w:pPr>
          </w:p>
        </w:tc>
        <w:tc>
          <w:tcPr>
            <w:tcW w:w="2869" w:type="pct"/>
            <w:tcBorders>
              <w:top w:val="single" w:sz="4" w:space="0" w:color="auto"/>
              <w:left w:val="single" w:sz="4" w:space="0" w:color="auto"/>
              <w:bottom w:val="single" w:sz="4" w:space="0" w:color="auto"/>
              <w:right w:val="single" w:sz="4" w:space="0" w:color="auto"/>
            </w:tcBorders>
            <w:shd w:val="clear" w:color="auto" w:fill="auto"/>
          </w:tcPr>
          <w:p w:rsidR="0042050F" w:rsidRPr="0042050F" w:rsidRDefault="0042050F" w:rsidP="00D639E8">
            <w:pPr>
              <w:rPr>
                <w:rFonts w:asciiTheme="minorHAnsi" w:hAnsiTheme="minorHAnsi" w:cstheme="minorHAnsi"/>
                <w:b/>
              </w:rPr>
            </w:pPr>
            <w:r w:rsidRPr="0042050F">
              <w:rPr>
                <w:rFonts w:asciiTheme="minorHAnsi" w:hAnsiTheme="minorHAnsi" w:cstheme="minorHAnsi"/>
                <w:b/>
                <w:sz w:val="22"/>
              </w:rPr>
              <w:t>TOTALE COMPONENTI POSITIVI DELLA GESTIONE (A)</w:t>
            </w:r>
          </w:p>
        </w:tc>
        <w:tc>
          <w:tcPr>
            <w:tcW w:w="809" w:type="pct"/>
            <w:tcBorders>
              <w:top w:val="single" w:sz="4" w:space="0" w:color="auto"/>
              <w:left w:val="single" w:sz="4" w:space="0" w:color="auto"/>
              <w:bottom w:val="single" w:sz="4" w:space="0" w:color="auto"/>
              <w:right w:val="single" w:sz="4" w:space="0" w:color="auto"/>
            </w:tcBorders>
            <w:shd w:val="clear" w:color="auto" w:fill="auto"/>
            <w:noWrap/>
          </w:tcPr>
          <w:p w:rsidR="0042050F" w:rsidRPr="0042050F" w:rsidRDefault="001119B4" w:rsidP="00D639E8">
            <w:pPr>
              <w:jc w:val="right"/>
              <w:rPr>
                <w:rFonts w:asciiTheme="minorHAnsi" w:hAnsiTheme="minorHAnsi" w:cstheme="minorHAnsi"/>
                <w:b/>
              </w:rPr>
            </w:pPr>
            <w:r>
              <w:rPr>
                <w:rFonts w:asciiTheme="minorHAnsi" w:hAnsiTheme="minorHAnsi" w:cstheme="minorHAnsi"/>
                <w:b/>
                <w:sz w:val="22"/>
              </w:rPr>
              <w:t>440.690,45</w:t>
            </w:r>
          </w:p>
        </w:tc>
      </w:tr>
    </w:tbl>
    <w:p w:rsidR="001F7E32" w:rsidRPr="00C316B0" w:rsidRDefault="001F7E32" w:rsidP="00FD1C8A">
      <w:pPr>
        <w:jc w:val="both"/>
        <w:rPr>
          <w:rFonts w:asciiTheme="minorHAnsi" w:hAnsiTheme="minorHAnsi" w:cstheme="minorHAnsi"/>
        </w:rPr>
      </w:pPr>
    </w:p>
    <w:p w:rsidR="001F7E32" w:rsidRPr="00C316B0" w:rsidRDefault="001F7E32"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rPr>
      </w:pPr>
    </w:p>
    <w:p w:rsidR="00BD174C" w:rsidRPr="00C316B0" w:rsidRDefault="00BD174C" w:rsidP="00FD1C8A">
      <w:pPr>
        <w:jc w:val="both"/>
        <w:rPr>
          <w:rFonts w:asciiTheme="minorHAnsi" w:hAnsiTheme="minorHAnsi" w:cstheme="minorHAnsi"/>
        </w:rPr>
      </w:pPr>
    </w:p>
    <w:p w:rsidR="005F7CA9" w:rsidRPr="00C316B0" w:rsidRDefault="005F7CA9" w:rsidP="00FD1C8A">
      <w:pPr>
        <w:jc w:val="both"/>
        <w:rPr>
          <w:rFonts w:asciiTheme="minorHAnsi" w:hAnsiTheme="minorHAnsi" w:cstheme="minorHAnsi"/>
          <w:b/>
        </w:rPr>
      </w:pPr>
      <w:r w:rsidRPr="00C316B0">
        <w:rPr>
          <w:rFonts w:asciiTheme="minorHAnsi" w:hAnsiTheme="minorHAnsi" w:cstheme="minorHAnsi"/>
          <w:b/>
        </w:rPr>
        <w:t>I COSTI D’ESERCIZIO</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 costi della gestione caratteristica, iscri</w:t>
      </w:r>
      <w:r w:rsidR="005A0695" w:rsidRPr="00C316B0">
        <w:rPr>
          <w:rFonts w:asciiTheme="minorHAnsi" w:hAnsiTheme="minorHAnsi" w:cstheme="minorHAnsi"/>
        </w:rPr>
        <w:t>tti per la quota di competenza</w:t>
      </w:r>
      <w:r w:rsidRPr="00C316B0">
        <w:rPr>
          <w:rFonts w:asciiTheme="minorHAnsi" w:hAnsiTheme="minorHAnsi" w:cstheme="minorHAnsi"/>
        </w:rPr>
        <w:t xml:space="preserve"> sono cosi composti:</w:t>
      </w:r>
    </w:p>
    <w:p w:rsidR="008F75ED" w:rsidRPr="00C316B0" w:rsidRDefault="008F75ED" w:rsidP="00FD1C8A">
      <w:pPr>
        <w:jc w:val="both"/>
        <w:rPr>
          <w:rFonts w:asciiTheme="minorHAnsi" w:hAnsiTheme="minorHAnsi" w:cstheme="minorHAnsi"/>
        </w:rPr>
      </w:pPr>
    </w:p>
    <w:p w:rsidR="005A0695" w:rsidRPr="00C316B0" w:rsidRDefault="005A0695" w:rsidP="00FD1C8A">
      <w:pPr>
        <w:jc w:val="both"/>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42"/>
        <w:gridCol w:w="5471"/>
        <w:gridCol w:w="1865"/>
        <w:gridCol w:w="6"/>
      </w:tblGrid>
      <w:tr w:rsidR="00594296" w:rsidRPr="00C316B0" w:rsidTr="00971D14">
        <w:trPr>
          <w:trHeight w:val="255"/>
        </w:trPr>
        <w:tc>
          <w:tcPr>
            <w:tcW w:w="1248" w:type="pct"/>
            <w:shd w:val="clear" w:color="DDEBF7" w:fill="DDEBF7"/>
            <w:vAlign w:val="bottom"/>
            <w:hideMark/>
          </w:tcPr>
          <w:p w:rsidR="00594296" w:rsidRPr="00C316B0" w:rsidRDefault="00594296" w:rsidP="00FD1C8A">
            <w:pPr>
              <w:jc w:val="both"/>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796" w:type="pct"/>
            <w:shd w:val="clear" w:color="DDEBF7" w:fill="DDEBF7"/>
            <w:vAlign w:val="bottom"/>
            <w:hideMark/>
          </w:tcPr>
          <w:p w:rsidR="00594296" w:rsidRPr="00C316B0" w:rsidRDefault="00594296" w:rsidP="00FD1C8A">
            <w:pPr>
              <w:jc w:val="both"/>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956" w:type="pct"/>
            <w:gridSpan w:val="2"/>
            <w:shd w:val="clear" w:color="DDEBF7" w:fill="DDEBF7"/>
            <w:noWrap/>
            <w:hideMark/>
          </w:tcPr>
          <w:p w:rsidR="00594296" w:rsidRPr="00C316B0" w:rsidRDefault="00594296" w:rsidP="00F21473">
            <w:pPr>
              <w:jc w:val="right"/>
              <w:rPr>
                <w:rFonts w:asciiTheme="minorHAnsi" w:hAnsiTheme="minorHAnsi" w:cstheme="minorHAnsi"/>
                <w:b/>
                <w:bCs/>
                <w:color w:val="000000"/>
              </w:rPr>
            </w:pPr>
            <w:r w:rsidRPr="00C316B0">
              <w:rPr>
                <w:rFonts w:asciiTheme="minorHAnsi" w:hAnsiTheme="minorHAnsi" w:cstheme="minorHAnsi"/>
                <w:b/>
                <w:bCs/>
                <w:color w:val="000000"/>
              </w:rPr>
              <w:t>2018</w:t>
            </w:r>
          </w:p>
        </w:tc>
      </w:tr>
      <w:tr w:rsidR="00594296" w:rsidRPr="00971D14" w:rsidTr="00971D14">
        <w:trPr>
          <w:gridAfter w:val="1"/>
          <w:wAfter w:w="3" w:type="pct"/>
          <w:trHeight w:val="255"/>
        </w:trPr>
        <w:tc>
          <w:tcPr>
            <w:tcW w:w="1248" w:type="pct"/>
            <w:shd w:val="clear" w:color="auto" w:fill="auto"/>
            <w:vAlign w:val="bottom"/>
          </w:tcPr>
          <w:p w:rsidR="00594296" w:rsidRPr="00971D14" w:rsidRDefault="00594296" w:rsidP="00FD1C8A">
            <w:pPr>
              <w:jc w:val="both"/>
              <w:rPr>
                <w:rFonts w:asciiTheme="minorHAnsi" w:hAnsiTheme="minorHAnsi" w:cstheme="minorHAnsi"/>
                <w:bCs/>
                <w:color w:val="000000"/>
              </w:rPr>
            </w:pPr>
          </w:p>
        </w:tc>
        <w:tc>
          <w:tcPr>
            <w:tcW w:w="2796" w:type="pct"/>
            <w:shd w:val="clear" w:color="auto" w:fill="auto"/>
            <w:vAlign w:val="bottom"/>
          </w:tcPr>
          <w:p w:rsidR="00594296" w:rsidRPr="00971D14" w:rsidRDefault="00594296" w:rsidP="00FD1C8A">
            <w:pPr>
              <w:jc w:val="both"/>
              <w:rPr>
                <w:rFonts w:asciiTheme="minorHAnsi" w:hAnsiTheme="minorHAnsi" w:cstheme="minorHAnsi"/>
              </w:rPr>
            </w:pPr>
          </w:p>
        </w:tc>
        <w:tc>
          <w:tcPr>
            <w:tcW w:w="953" w:type="pct"/>
            <w:shd w:val="clear" w:color="auto" w:fill="auto"/>
            <w:noWrap/>
          </w:tcPr>
          <w:p w:rsidR="00594296" w:rsidRPr="00971D14" w:rsidRDefault="00594296" w:rsidP="00F21473">
            <w:pPr>
              <w:jc w:val="right"/>
              <w:rPr>
                <w:rFonts w:asciiTheme="minorHAnsi" w:hAnsiTheme="minorHAnsi" w:cstheme="minorHAnsi"/>
              </w:rPr>
            </w:pP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2.1.2.01.01.001 - Organi istituzionali dell</w:t>
            </w:r>
            <w:r>
              <w:rPr>
                <w:rFonts w:asciiTheme="minorHAnsi" w:hAnsiTheme="minorHAnsi" w:cstheme="minorHAnsi"/>
                <w:sz w:val="22"/>
              </w:rPr>
              <w:t>’amministrazione - Indennità</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8.800,00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2.1.2.01.01.008 - Compensi agli organi istituzionali di revisione, di controllo ed altri incarichi istituzionali dell</w:t>
            </w:r>
            <w:r>
              <w:rPr>
                <w:rFonts w:asciiTheme="minorHAnsi" w:hAnsiTheme="minorHAnsi" w:cstheme="minorHAnsi"/>
                <w:sz w:val="22"/>
              </w:rPr>
              <w:t>’</w:t>
            </w:r>
            <w:r w:rsidRPr="00971D14">
              <w:rPr>
                <w:rFonts w:asciiTheme="minorHAnsi" w:hAnsiTheme="minorHAnsi" w:cstheme="minorHAnsi"/>
                <w:sz w:val="22"/>
              </w:rPr>
              <w:t>amministrazione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2.700,00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2.1.2.01.05.999 - Utenze e canoni per altri servizi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6.331,50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2.1.2.01.07.001 - Manutenzione ordinaria e riparazioni di mezzi di trasporto ad uso civile, di sicurezza e ordine pubblico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3.512,67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2.1.2.01.07.008 - Manutenzione ordinaria e riparazioni di beni immobili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38.716,52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2.1.2.01.07.011 - Manutenzione ordinaria e riparazioni di altri beni materiali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7.269,81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2.1.2.01.09.999 - Altre prestazioni professionali e specialistiche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10.734,20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2.1.2.01.10.999 - Altre forme di lavoro flessibile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10.333,00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2.1.2.01.13.006 - Contratti di servizio per le mense scolastiche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50,00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 xml:space="preserve">B10 - Prestazioni di </w:t>
            </w:r>
            <w:r w:rsidRPr="00971D14">
              <w:rPr>
                <w:rFonts w:asciiTheme="minorHAnsi" w:hAnsiTheme="minorHAnsi" w:cstheme="minorHAnsi"/>
                <w:bCs/>
                <w:color w:val="000000"/>
                <w:sz w:val="22"/>
              </w:rPr>
              <w:lastRenderedPageBreak/>
              <w:t>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lastRenderedPageBreak/>
              <w:t xml:space="preserve">2.1.2.01.13.011 - Contratti di servizio per la lotta al </w:t>
            </w:r>
            <w:r w:rsidRPr="00971D14">
              <w:rPr>
                <w:rFonts w:asciiTheme="minorHAnsi" w:hAnsiTheme="minorHAnsi" w:cstheme="minorHAnsi"/>
                <w:sz w:val="22"/>
              </w:rPr>
              <w:lastRenderedPageBreak/>
              <w:t>randagismo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lastRenderedPageBreak/>
              <w:t xml:space="preserve">-          1.371,16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lastRenderedPageBreak/>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2.1.2.01.14.999 - Altre spese per servizi amministrativi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50,00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2.1.2.01.99.003 - Quote di associazioni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800,00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2.1.2.01.99.004 - Altre spese per consultazioni elettorali dell</w:t>
            </w:r>
            <w:r>
              <w:rPr>
                <w:rFonts w:asciiTheme="minorHAnsi" w:hAnsiTheme="minorHAnsi" w:cstheme="minorHAnsi"/>
                <w:sz w:val="22"/>
              </w:rPr>
              <w:t>’</w:t>
            </w:r>
            <w:r w:rsidRPr="00971D14">
              <w:rPr>
                <w:rFonts w:asciiTheme="minorHAnsi" w:hAnsiTheme="minorHAnsi" w:cstheme="minorHAnsi"/>
                <w:sz w:val="22"/>
              </w:rPr>
              <w:t>ente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830,50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B10 - Prestazioni di servizi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2.1.2.01.99.999 - Altri servizi diversi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34.715,25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B11 - Utilizzo  beni di terzi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2.1.3.01.01.001 - Locazione di beni immobili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3.000,00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B11 - Utilizzo  beni di terzi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2.1.3.02.01.001 - Licenze d uso per software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7.992,80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B12a - Trasferimenti correnti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2.3.1.01.02.003 - Trasferimenti correnti a Comuni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50,00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B12a - Trasferimenti correnti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2.3.1.01.02.999 - Trasferimenti correnti a altre Amministrazioni Locali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1.000,00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B12a - Trasferimenti correnti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 xml:space="preserve">2.3.1.01.04.001 - Trasferimenti correnti a organismi interni </w:t>
            </w:r>
            <w:r>
              <w:rPr>
                <w:rFonts w:asciiTheme="minorHAnsi" w:hAnsiTheme="minorHAnsi" w:cstheme="minorHAnsi"/>
                <w:sz w:val="22"/>
              </w:rPr>
              <w:t>e/o unità</w:t>
            </w:r>
            <w:r w:rsidRPr="00971D14">
              <w:rPr>
                <w:rFonts w:asciiTheme="minorHAnsi" w:hAnsiTheme="minorHAnsi" w:cstheme="minorHAnsi"/>
                <w:sz w:val="22"/>
              </w:rPr>
              <w:t xml:space="preserve"> locali della amministrazione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1.897,77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B12a - Trasferimenti correnti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2.3.1.02.99.999 - Altri trasferimenti a famiglie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49.500,00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B13 - Personale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2.1.4.01.01.001 - Voci stipendiali corrisposte al personale a tempo indeterminato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64.789,42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B13 - Personale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Pr>
                <w:rFonts w:asciiTheme="minorHAnsi" w:hAnsiTheme="minorHAnsi" w:cstheme="minorHAnsi"/>
                <w:sz w:val="22"/>
              </w:rPr>
              <w:t>2.1.4.01.01.002 - Indennità</w:t>
            </w:r>
            <w:r w:rsidRPr="00971D14">
              <w:rPr>
                <w:rFonts w:asciiTheme="minorHAnsi" w:hAnsiTheme="minorHAnsi" w:cstheme="minorHAnsi"/>
                <w:sz w:val="22"/>
              </w:rPr>
              <w:t xml:space="preserve"> ed altri compensi, esclusi i rimborsi spesa per missione, corrisposti al personale a tempo indeterminato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6.816,42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B13 - Personale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2.1.4.01.01.003 - Voci stipendiali corrisposte al personale a tempo determinato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45.422,98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B13 - Personale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 xml:space="preserve">2.1.4.01.01.004 - </w:t>
            </w:r>
            <w:r>
              <w:rPr>
                <w:rFonts w:asciiTheme="minorHAnsi" w:hAnsiTheme="minorHAnsi" w:cstheme="minorHAnsi"/>
                <w:sz w:val="22"/>
              </w:rPr>
              <w:t>Indennità</w:t>
            </w:r>
            <w:r w:rsidRPr="00971D14">
              <w:rPr>
                <w:rFonts w:asciiTheme="minorHAnsi" w:hAnsiTheme="minorHAnsi" w:cstheme="minorHAnsi"/>
                <w:sz w:val="22"/>
              </w:rPr>
              <w:t xml:space="preserve"> ed altri compensi, esclusi i rimborsi spesa documentati per missione, corrisposti al personale a tempo determinato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1.150,00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B13 - Personale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2.1.4.01.02.001 - Straordinario per il personale a tempo indeterminato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1.143,65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B13 - Personale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2.1.4.02.01.001 - Contributi obbligatori per il personale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39.530,92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B14b - Ammortamenti di immobilizzazioni materiali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2.2.1.01.01.001 - Ammortamento Mezzi di trasporto stradali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2.517,17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B14b - Ammortamenti di immobilizzazioni materiali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2.2.1.05.99.999 - Ammortamento di attrezzature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1.770,12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B14b - Ammortamenti di immobilizzazioni materiali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2.2.1.09.01.001 - Ammortamento Fabbricati ad uso abitativo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870,34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B14b - Ammortamenti di immobilizzazioni materiali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2.2.1.09.03.001 - Ammortamento Fabbricati ad uso scolastico</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1.408,11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B14b - Ammortamenti di immobilizzazioni materiali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2.2.1.09.12.001 - Ammortamento Infrastrutture stradali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6.115,54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B14d - Svalutazione dei crediti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2.4.1.01.01.001 - Accantonamento a fondo svalutazione crediti di natura tributaria</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14.829,25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lastRenderedPageBreak/>
              <w:t>B14d - Svalutazione dei crediti</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2.4.1.03.01.001 - Accantonamento a fondo svalutazione crediti per crediti verso clienti ed utenti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15.884,75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B18 - Oneri diversi di gestione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2.1.9.01.01.005 - Tributo funzione tutela e protezione ambiente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4.000,00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B18 - Oneri diversi di gestione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2.1.9.01.01.009 - Tassa di circolazione dei veicoli a motore (tassa automobilistica)</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486,94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B18 - Oneri diversi di gestione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2.1.9.01.01.999 - Imposte, tasse e proventi assimilati a carico dell</w:t>
            </w:r>
            <w:r>
              <w:rPr>
                <w:rFonts w:asciiTheme="minorHAnsi" w:hAnsiTheme="minorHAnsi" w:cstheme="minorHAnsi"/>
                <w:sz w:val="22"/>
              </w:rPr>
              <w:t>’</w:t>
            </w:r>
            <w:r w:rsidRPr="00971D14">
              <w:rPr>
                <w:rFonts w:asciiTheme="minorHAnsi" w:hAnsiTheme="minorHAnsi" w:cstheme="minorHAnsi"/>
                <w:sz w:val="22"/>
              </w:rPr>
              <w:t>ente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1.272,23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B18 - Oneri diversi di gestione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2.1.9.03.01.004 - Altri premi di assicurazione contro i danni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2.300,00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B18 - Oneri diversi di gestione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2.1.9.03.99.999 - Altri premi di assicurazione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1.535,61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B18 - Oneri diversi di gestione</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2.1.9.99.99.001 - Altri costi della gestione</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417,45 </w:t>
            </w:r>
          </w:p>
        </w:tc>
      </w:tr>
      <w:tr w:rsidR="00971D14" w:rsidRPr="00971D14"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bCs/>
                <w:color w:val="000000"/>
              </w:rPr>
            </w:pPr>
            <w:r w:rsidRPr="00971D14">
              <w:rPr>
                <w:rFonts w:asciiTheme="minorHAnsi" w:hAnsiTheme="minorHAnsi" w:cstheme="minorHAnsi"/>
                <w:bCs/>
                <w:color w:val="000000"/>
                <w:sz w:val="22"/>
              </w:rPr>
              <w:t>B9 - Acquisto di materie prime e/o beni di consumo</w:t>
            </w: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971D14" w:rsidRPr="00971D14" w:rsidRDefault="00971D14" w:rsidP="00971D14">
            <w:pPr>
              <w:rPr>
                <w:rFonts w:asciiTheme="minorHAnsi" w:hAnsiTheme="minorHAnsi" w:cstheme="minorHAnsi"/>
              </w:rPr>
            </w:pPr>
            <w:r w:rsidRPr="00971D14">
              <w:rPr>
                <w:rFonts w:asciiTheme="minorHAnsi" w:hAnsiTheme="minorHAnsi" w:cstheme="minorHAnsi"/>
                <w:sz w:val="22"/>
              </w:rPr>
              <w:t>2.1.1.01.02.999 - Altri beni e materiali di consumo n.a.c.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971D14" w:rsidRPr="00971D14" w:rsidRDefault="00971D14" w:rsidP="00971D14">
            <w:pPr>
              <w:jc w:val="right"/>
              <w:rPr>
                <w:rFonts w:asciiTheme="minorHAnsi" w:hAnsiTheme="minorHAnsi" w:cstheme="minorHAnsi"/>
              </w:rPr>
            </w:pPr>
            <w:r w:rsidRPr="00971D14">
              <w:rPr>
                <w:rFonts w:asciiTheme="minorHAnsi" w:hAnsiTheme="minorHAnsi" w:cstheme="minorHAnsi"/>
                <w:sz w:val="22"/>
              </w:rPr>
              <w:t xml:space="preserve">-        17.745,27 </w:t>
            </w:r>
          </w:p>
        </w:tc>
      </w:tr>
      <w:tr w:rsidR="00F21473" w:rsidRPr="00F21473" w:rsidTr="00971D14">
        <w:trPr>
          <w:gridAfter w:val="1"/>
          <w:wAfter w:w="3" w:type="pct"/>
          <w:trHeight w:val="25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F21473" w:rsidRPr="00F21473" w:rsidRDefault="00F21473" w:rsidP="00F21473">
            <w:pPr>
              <w:rPr>
                <w:rFonts w:asciiTheme="minorHAnsi" w:hAnsiTheme="minorHAnsi" w:cstheme="minorHAnsi"/>
                <w:b/>
                <w:bCs/>
                <w:color w:val="000000"/>
              </w:rPr>
            </w:pPr>
          </w:p>
        </w:tc>
        <w:tc>
          <w:tcPr>
            <w:tcW w:w="2796" w:type="pct"/>
            <w:tcBorders>
              <w:top w:val="single" w:sz="4" w:space="0" w:color="auto"/>
              <w:left w:val="single" w:sz="4" w:space="0" w:color="auto"/>
              <w:bottom w:val="single" w:sz="4" w:space="0" w:color="auto"/>
              <w:right w:val="single" w:sz="4" w:space="0" w:color="auto"/>
            </w:tcBorders>
            <w:shd w:val="clear" w:color="auto" w:fill="auto"/>
          </w:tcPr>
          <w:p w:rsidR="00F21473" w:rsidRPr="00F21473" w:rsidRDefault="00F21473" w:rsidP="00F21473">
            <w:pPr>
              <w:rPr>
                <w:rFonts w:asciiTheme="minorHAnsi" w:hAnsiTheme="minorHAnsi" w:cstheme="minorHAnsi"/>
                <w:b/>
              </w:rPr>
            </w:pPr>
            <w:r w:rsidRPr="00F21473">
              <w:rPr>
                <w:rFonts w:asciiTheme="minorHAnsi" w:hAnsiTheme="minorHAnsi" w:cstheme="minorHAnsi"/>
                <w:b/>
                <w:sz w:val="22"/>
              </w:rPr>
              <w:t>TOTALE COMPONENTI NEGATIVI DELLA GESTIONE (B)</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F21473" w:rsidRPr="00CC10AF" w:rsidRDefault="00971D14" w:rsidP="00971D14">
            <w:pPr>
              <w:jc w:val="right"/>
              <w:rPr>
                <w:rFonts w:asciiTheme="minorHAnsi" w:hAnsiTheme="minorHAnsi" w:cstheme="minorHAnsi"/>
                <w:b/>
              </w:rPr>
            </w:pPr>
            <w:r w:rsidRPr="00CC10AF">
              <w:rPr>
                <w:rFonts w:asciiTheme="minorHAnsi" w:hAnsiTheme="minorHAnsi" w:cstheme="minorHAnsi"/>
                <w:b/>
                <w:sz w:val="22"/>
              </w:rPr>
              <w:t>-419.661,35</w:t>
            </w:r>
          </w:p>
        </w:tc>
      </w:tr>
    </w:tbl>
    <w:p w:rsidR="005A0695" w:rsidRPr="00C316B0" w:rsidRDefault="005A0695" w:rsidP="00FD1C8A">
      <w:pPr>
        <w:jc w:val="both"/>
        <w:rPr>
          <w:rFonts w:asciiTheme="minorHAnsi" w:hAnsiTheme="minorHAnsi" w:cstheme="minorHAnsi"/>
        </w:rPr>
      </w:pPr>
    </w:p>
    <w:p w:rsidR="005A0695" w:rsidRPr="00C316B0" w:rsidRDefault="005A0695" w:rsidP="00FD1C8A">
      <w:pPr>
        <w:jc w:val="both"/>
        <w:rPr>
          <w:rFonts w:asciiTheme="minorHAnsi" w:hAnsiTheme="minorHAnsi" w:cstheme="minorHAnsi"/>
        </w:rPr>
      </w:pPr>
    </w:p>
    <w:p w:rsidR="00DD5A7E" w:rsidRPr="00C316B0" w:rsidRDefault="00DD5A7E" w:rsidP="00FD1C8A">
      <w:pPr>
        <w:spacing w:after="160" w:line="259" w:lineRule="auto"/>
        <w:jc w:val="both"/>
        <w:rPr>
          <w:rFonts w:asciiTheme="minorHAnsi" w:eastAsiaTheme="majorEastAsia" w:hAnsiTheme="minorHAnsi" w:cstheme="minorHAnsi"/>
          <w:b/>
          <w:color w:val="000000" w:themeColor="text1"/>
          <w:lang w:eastAsia="en-US"/>
        </w:rPr>
      </w:pPr>
      <w:bookmarkStart w:id="6" w:name="_Toc509783932"/>
    </w:p>
    <w:p w:rsidR="005F7CA9" w:rsidRPr="00C316B0" w:rsidRDefault="005F7CA9" w:rsidP="00FD1C8A">
      <w:pPr>
        <w:pStyle w:val="Titolo2"/>
        <w:jc w:val="both"/>
        <w:rPr>
          <w:rFonts w:asciiTheme="minorHAnsi" w:hAnsiTheme="minorHAnsi" w:cstheme="minorHAnsi"/>
          <w:sz w:val="24"/>
          <w:szCs w:val="24"/>
        </w:rPr>
      </w:pPr>
      <w:r w:rsidRPr="00C316B0">
        <w:rPr>
          <w:rFonts w:asciiTheme="minorHAnsi" w:hAnsiTheme="minorHAnsi" w:cstheme="minorHAnsi"/>
          <w:sz w:val="24"/>
          <w:szCs w:val="24"/>
        </w:rPr>
        <w:t>LA GESTIONE FINANZIARIA</w:t>
      </w:r>
      <w:bookmarkEnd w:id="6"/>
    </w:p>
    <w:p w:rsidR="006B4742" w:rsidRPr="00C316B0" w:rsidRDefault="005F7CA9" w:rsidP="00FD1C8A">
      <w:pPr>
        <w:jc w:val="both"/>
        <w:rPr>
          <w:rFonts w:asciiTheme="minorHAnsi" w:hAnsiTheme="minorHAnsi" w:cstheme="minorHAnsi"/>
        </w:rPr>
      </w:pPr>
      <w:r w:rsidRPr="00C316B0">
        <w:rPr>
          <w:rFonts w:asciiTheme="minorHAnsi" w:hAnsiTheme="minorHAnsi" w:cstheme="minorHAnsi"/>
        </w:rPr>
        <w:t>La gestione finanziaria chiude</w:t>
      </w:r>
      <w:r w:rsidR="006B4742" w:rsidRPr="00C316B0">
        <w:rPr>
          <w:rFonts w:asciiTheme="minorHAnsi" w:hAnsiTheme="minorHAnsi" w:cstheme="minorHAnsi"/>
        </w:rPr>
        <w:t xml:space="preserve"> con un risultato </w:t>
      </w:r>
      <w:r w:rsidR="002E792B">
        <w:rPr>
          <w:rFonts w:asciiTheme="minorHAnsi" w:hAnsiTheme="minorHAnsi" w:cstheme="minorHAnsi"/>
        </w:rPr>
        <w:t>positivo</w:t>
      </w:r>
      <w:r w:rsidR="006B4742" w:rsidRPr="00C316B0">
        <w:rPr>
          <w:rFonts w:asciiTheme="minorHAnsi" w:hAnsiTheme="minorHAnsi" w:cstheme="minorHAnsi"/>
        </w:rPr>
        <w:t xml:space="preserve">, </w:t>
      </w:r>
      <w:r w:rsidR="002E792B">
        <w:rPr>
          <w:rFonts w:asciiTheme="minorHAnsi" w:hAnsiTheme="minorHAnsi" w:cstheme="minorHAnsi"/>
        </w:rPr>
        <w:t>comprendendo unicamente interessi attivi</w:t>
      </w:r>
      <w:r w:rsidR="006B4742" w:rsidRPr="00C316B0">
        <w:rPr>
          <w:rFonts w:asciiTheme="minorHAnsi" w:hAnsiTheme="minorHAnsi" w:cstheme="minorHAnsi"/>
        </w:rPr>
        <w:t xml:space="preserve">. </w:t>
      </w:r>
    </w:p>
    <w:p w:rsidR="005F7CA9" w:rsidRPr="00C316B0" w:rsidRDefault="006B4742" w:rsidP="00FD1C8A">
      <w:pPr>
        <w:jc w:val="both"/>
        <w:rPr>
          <w:rFonts w:asciiTheme="minorHAnsi" w:hAnsiTheme="minorHAnsi" w:cstheme="minorHAnsi"/>
        </w:rPr>
      </w:pPr>
      <w:r w:rsidRPr="00C316B0">
        <w:rPr>
          <w:rFonts w:asciiTheme="minorHAnsi" w:hAnsiTheme="minorHAnsi" w:cstheme="minorHAnsi"/>
        </w:rPr>
        <w:t>Il dettaglio è rappresentato da</w:t>
      </w:r>
      <w:r w:rsidR="005F7CA9" w:rsidRPr="00C316B0">
        <w:rPr>
          <w:rFonts w:asciiTheme="minorHAnsi" w:hAnsiTheme="minorHAnsi" w:cstheme="minorHAnsi"/>
        </w:rPr>
        <w:t>:</w:t>
      </w:r>
    </w:p>
    <w:p w:rsidR="00BD174C" w:rsidRPr="00C316B0" w:rsidRDefault="00BD174C" w:rsidP="00FD1C8A">
      <w:pPr>
        <w:jc w:val="both"/>
        <w:rPr>
          <w:rFonts w:asciiTheme="minorHAnsi" w:hAnsiTheme="minorHAnsi" w:cstheme="minorHAnsi"/>
        </w:rPr>
      </w:pPr>
    </w:p>
    <w:p w:rsidR="005D5798" w:rsidRPr="00C316B0" w:rsidRDefault="005D5798" w:rsidP="00FD1C8A">
      <w:pPr>
        <w:jc w:val="both"/>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97"/>
        <w:gridCol w:w="5616"/>
        <w:gridCol w:w="1865"/>
        <w:gridCol w:w="6"/>
      </w:tblGrid>
      <w:tr w:rsidR="005D5798" w:rsidRPr="00C316B0" w:rsidTr="00946C4D">
        <w:trPr>
          <w:trHeight w:val="255"/>
        </w:trPr>
        <w:tc>
          <w:tcPr>
            <w:tcW w:w="1174" w:type="pct"/>
            <w:shd w:val="clear" w:color="DDEBF7" w:fill="DDEBF7"/>
            <w:hideMark/>
          </w:tcPr>
          <w:p w:rsidR="005D5798" w:rsidRPr="00C316B0" w:rsidRDefault="005D5798" w:rsidP="00946C4D">
            <w:pPr>
              <w:jc w:val="right"/>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870" w:type="pct"/>
            <w:shd w:val="clear" w:color="DDEBF7" w:fill="DDEBF7"/>
            <w:hideMark/>
          </w:tcPr>
          <w:p w:rsidR="005D5798" w:rsidRPr="00C316B0" w:rsidRDefault="005D5798" w:rsidP="00946C4D">
            <w:pPr>
              <w:jc w:val="right"/>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956" w:type="pct"/>
            <w:gridSpan w:val="2"/>
            <w:shd w:val="clear" w:color="DDEBF7" w:fill="DDEBF7"/>
            <w:noWrap/>
            <w:hideMark/>
          </w:tcPr>
          <w:p w:rsidR="005D5798" w:rsidRPr="00C316B0" w:rsidRDefault="005D5798" w:rsidP="00946C4D">
            <w:pPr>
              <w:jc w:val="right"/>
              <w:rPr>
                <w:rFonts w:asciiTheme="minorHAnsi" w:hAnsiTheme="minorHAnsi" w:cstheme="minorHAnsi"/>
                <w:b/>
                <w:bCs/>
                <w:color w:val="000000"/>
              </w:rPr>
            </w:pPr>
            <w:r w:rsidRPr="00C316B0">
              <w:rPr>
                <w:rFonts w:asciiTheme="minorHAnsi" w:hAnsiTheme="minorHAnsi" w:cstheme="minorHAnsi"/>
                <w:b/>
                <w:bCs/>
                <w:color w:val="000000"/>
              </w:rPr>
              <w:t>2018</w:t>
            </w:r>
          </w:p>
        </w:tc>
      </w:tr>
      <w:tr w:rsidR="00AB6282" w:rsidRPr="002F000E" w:rsidTr="00946C4D">
        <w:trPr>
          <w:gridAfter w:val="1"/>
          <w:wAfter w:w="3" w:type="pct"/>
          <w:trHeight w:val="326"/>
        </w:trPr>
        <w:tc>
          <w:tcPr>
            <w:tcW w:w="1174" w:type="pct"/>
            <w:shd w:val="clear" w:color="auto" w:fill="auto"/>
          </w:tcPr>
          <w:p w:rsidR="00AB6282" w:rsidRPr="002F000E" w:rsidRDefault="00AB6282" w:rsidP="00946C4D">
            <w:pPr>
              <w:jc w:val="right"/>
              <w:rPr>
                <w:rFonts w:asciiTheme="minorHAnsi" w:hAnsiTheme="minorHAnsi" w:cstheme="minorHAnsi"/>
                <w:bCs/>
                <w:color w:val="000000"/>
              </w:rPr>
            </w:pPr>
          </w:p>
        </w:tc>
        <w:tc>
          <w:tcPr>
            <w:tcW w:w="2870" w:type="pct"/>
            <w:shd w:val="clear" w:color="auto" w:fill="auto"/>
          </w:tcPr>
          <w:p w:rsidR="00AB6282" w:rsidRPr="002F000E" w:rsidRDefault="00AB6282" w:rsidP="00946C4D">
            <w:pPr>
              <w:jc w:val="right"/>
              <w:rPr>
                <w:rFonts w:asciiTheme="minorHAnsi" w:hAnsiTheme="minorHAnsi" w:cstheme="minorHAnsi"/>
              </w:rPr>
            </w:pPr>
          </w:p>
        </w:tc>
        <w:tc>
          <w:tcPr>
            <w:tcW w:w="953" w:type="pct"/>
            <w:shd w:val="clear" w:color="auto" w:fill="auto"/>
            <w:noWrap/>
          </w:tcPr>
          <w:p w:rsidR="00AB6282" w:rsidRPr="002F000E" w:rsidRDefault="00AB6282" w:rsidP="00946C4D">
            <w:pPr>
              <w:jc w:val="right"/>
              <w:rPr>
                <w:rFonts w:asciiTheme="minorHAnsi" w:hAnsiTheme="minorHAnsi" w:cstheme="minorHAnsi"/>
              </w:rPr>
            </w:pPr>
          </w:p>
        </w:tc>
      </w:tr>
      <w:tr w:rsidR="002F000E" w:rsidRPr="002F000E" w:rsidTr="002F000E">
        <w:trPr>
          <w:gridAfter w:val="1"/>
          <w:wAfter w:w="3" w:type="pct"/>
          <w:trHeight w:val="326"/>
        </w:trPr>
        <w:tc>
          <w:tcPr>
            <w:tcW w:w="1174" w:type="pct"/>
            <w:tcBorders>
              <w:top w:val="single" w:sz="4" w:space="0" w:color="auto"/>
              <w:left w:val="single" w:sz="4" w:space="0" w:color="auto"/>
              <w:bottom w:val="single" w:sz="4" w:space="0" w:color="auto"/>
              <w:right w:val="single" w:sz="4" w:space="0" w:color="auto"/>
            </w:tcBorders>
            <w:shd w:val="clear" w:color="auto" w:fill="auto"/>
          </w:tcPr>
          <w:p w:rsidR="002F000E" w:rsidRPr="002F000E" w:rsidRDefault="002F000E" w:rsidP="002F000E">
            <w:pPr>
              <w:jc w:val="right"/>
              <w:rPr>
                <w:rFonts w:asciiTheme="minorHAnsi" w:hAnsiTheme="minorHAnsi" w:cstheme="minorHAnsi"/>
                <w:bCs/>
                <w:color w:val="000000"/>
              </w:rPr>
            </w:pPr>
            <w:r w:rsidRPr="002F000E">
              <w:rPr>
                <w:rFonts w:asciiTheme="minorHAnsi" w:hAnsiTheme="minorHAnsi" w:cstheme="minorHAnsi"/>
                <w:bCs/>
                <w:color w:val="000000"/>
                <w:sz w:val="22"/>
              </w:rPr>
              <w:t>C20 - Altri proventi finanziari</w:t>
            </w: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2F000E" w:rsidRPr="002F000E" w:rsidRDefault="002F000E" w:rsidP="002F000E">
            <w:pPr>
              <w:jc w:val="right"/>
              <w:rPr>
                <w:rFonts w:asciiTheme="minorHAnsi" w:hAnsiTheme="minorHAnsi" w:cstheme="minorHAnsi"/>
              </w:rPr>
            </w:pPr>
            <w:r w:rsidRPr="002F000E">
              <w:rPr>
                <w:rFonts w:asciiTheme="minorHAnsi" w:hAnsiTheme="minorHAnsi" w:cstheme="minorHAnsi"/>
                <w:sz w:val="22"/>
              </w:rPr>
              <w:t>3.2.3.05.01.001 - Interessi attivi da depositi bancari o postali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2F000E" w:rsidRPr="002F000E" w:rsidRDefault="002F000E" w:rsidP="002F000E">
            <w:pPr>
              <w:jc w:val="right"/>
              <w:rPr>
                <w:rFonts w:asciiTheme="minorHAnsi" w:hAnsiTheme="minorHAnsi" w:cstheme="minorHAnsi"/>
              </w:rPr>
            </w:pPr>
            <w:r w:rsidRPr="002F000E">
              <w:rPr>
                <w:rFonts w:asciiTheme="minorHAnsi" w:hAnsiTheme="minorHAnsi" w:cstheme="minorHAnsi"/>
                <w:sz w:val="22"/>
              </w:rPr>
              <w:t xml:space="preserve">                 0,04 </w:t>
            </w:r>
          </w:p>
        </w:tc>
      </w:tr>
      <w:tr w:rsidR="00F1527A" w:rsidRPr="00F1527A" w:rsidTr="00946C4D">
        <w:trPr>
          <w:gridAfter w:val="1"/>
          <w:wAfter w:w="3" w:type="pct"/>
          <w:trHeight w:val="326"/>
        </w:trPr>
        <w:tc>
          <w:tcPr>
            <w:tcW w:w="1174" w:type="pct"/>
            <w:tcBorders>
              <w:top w:val="single" w:sz="4" w:space="0" w:color="auto"/>
              <w:left w:val="single" w:sz="4" w:space="0" w:color="auto"/>
              <w:bottom w:val="single" w:sz="4" w:space="0" w:color="auto"/>
              <w:right w:val="single" w:sz="4" w:space="0" w:color="auto"/>
            </w:tcBorders>
            <w:shd w:val="clear" w:color="auto" w:fill="auto"/>
          </w:tcPr>
          <w:p w:rsidR="00F1527A" w:rsidRPr="00F1527A" w:rsidRDefault="00F1527A" w:rsidP="00946C4D">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F1527A" w:rsidRPr="00F1527A" w:rsidRDefault="00F1527A" w:rsidP="00946C4D">
            <w:pPr>
              <w:rPr>
                <w:rFonts w:asciiTheme="minorHAnsi" w:hAnsiTheme="minorHAnsi" w:cstheme="minorHAnsi"/>
                <w:b/>
              </w:rPr>
            </w:pPr>
            <w:r w:rsidRPr="00F1527A">
              <w:rPr>
                <w:rFonts w:asciiTheme="minorHAnsi" w:hAnsiTheme="minorHAnsi" w:cstheme="minorHAnsi"/>
                <w:b/>
                <w:sz w:val="22"/>
              </w:rPr>
              <w:t>Totale proventi finanziari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F1527A" w:rsidRPr="00F1527A" w:rsidRDefault="00F1527A" w:rsidP="00946C4D">
            <w:pPr>
              <w:jc w:val="right"/>
              <w:rPr>
                <w:rFonts w:asciiTheme="minorHAnsi" w:hAnsiTheme="minorHAnsi" w:cstheme="minorHAnsi"/>
                <w:b/>
              </w:rPr>
            </w:pPr>
          </w:p>
        </w:tc>
      </w:tr>
      <w:tr w:rsidR="002F000E" w:rsidRPr="002F000E" w:rsidTr="00946C4D">
        <w:trPr>
          <w:gridAfter w:val="1"/>
          <w:wAfter w:w="3" w:type="pct"/>
          <w:trHeight w:val="326"/>
        </w:trPr>
        <w:tc>
          <w:tcPr>
            <w:tcW w:w="1174" w:type="pct"/>
            <w:tcBorders>
              <w:top w:val="single" w:sz="4" w:space="0" w:color="auto"/>
              <w:left w:val="single" w:sz="4" w:space="0" w:color="auto"/>
              <w:bottom w:val="single" w:sz="4" w:space="0" w:color="auto"/>
              <w:right w:val="single" w:sz="4" w:space="0" w:color="auto"/>
            </w:tcBorders>
            <w:shd w:val="clear" w:color="auto" w:fill="auto"/>
          </w:tcPr>
          <w:p w:rsidR="002F000E" w:rsidRPr="002F000E" w:rsidRDefault="002F000E" w:rsidP="00946C4D">
            <w:pPr>
              <w:rPr>
                <w:rFonts w:asciiTheme="minorHAnsi" w:hAnsiTheme="minorHAnsi" w:cstheme="minorHAnsi"/>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2F000E" w:rsidRPr="002F000E" w:rsidRDefault="002F000E" w:rsidP="00946C4D">
            <w:pPr>
              <w:rPr>
                <w:rFonts w:asciiTheme="minorHAnsi" w:hAnsiTheme="minorHAnsi" w:cstheme="minorHAnsi"/>
              </w:rPr>
            </w:pP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2F000E" w:rsidRPr="002F000E" w:rsidRDefault="002F000E" w:rsidP="00F1527A">
            <w:pPr>
              <w:pStyle w:val="Paragrafoelenco"/>
              <w:numPr>
                <w:ilvl w:val="0"/>
                <w:numId w:val="9"/>
              </w:numPr>
              <w:jc w:val="right"/>
              <w:rPr>
                <w:rFonts w:cstheme="minorHAnsi"/>
              </w:rPr>
            </w:pPr>
          </w:p>
        </w:tc>
      </w:tr>
      <w:tr w:rsidR="00F1527A" w:rsidRPr="00F1527A" w:rsidTr="00946C4D">
        <w:trPr>
          <w:gridAfter w:val="1"/>
          <w:wAfter w:w="3" w:type="pct"/>
          <w:trHeight w:val="326"/>
        </w:trPr>
        <w:tc>
          <w:tcPr>
            <w:tcW w:w="1174" w:type="pct"/>
            <w:tcBorders>
              <w:top w:val="single" w:sz="4" w:space="0" w:color="auto"/>
              <w:left w:val="single" w:sz="4" w:space="0" w:color="auto"/>
              <w:bottom w:val="single" w:sz="4" w:space="0" w:color="auto"/>
              <w:right w:val="single" w:sz="4" w:space="0" w:color="auto"/>
            </w:tcBorders>
            <w:shd w:val="clear" w:color="auto" w:fill="auto"/>
          </w:tcPr>
          <w:p w:rsidR="00F1527A" w:rsidRPr="00F1527A" w:rsidRDefault="00F1527A" w:rsidP="00946C4D">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F1527A" w:rsidRPr="00F1527A" w:rsidRDefault="00F1527A" w:rsidP="00946C4D">
            <w:pPr>
              <w:rPr>
                <w:rFonts w:asciiTheme="minorHAnsi" w:hAnsiTheme="minorHAnsi" w:cstheme="minorHAnsi"/>
                <w:b/>
              </w:rPr>
            </w:pPr>
            <w:r w:rsidRPr="00F1527A">
              <w:rPr>
                <w:rFonts w:asciiTheme="minorHAnsi" w:hAnsiTheme="minorHAnsi" w:cstheme="minorHAnsi"/>
                <w:b/>
                <w:sz w:val="22"/>
              </w:rPr>
              <w:t>Totale oneri finanziari</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F1527A" w:rsidRPr="00F1527A" w:rsidRDefault="00F1527A" w:rsidP="00F1527A">
            <w:pPr>
              <w:pStyle w:val="Paragrafoelenco"/>
              <w:numPr>
                <w:ilvl w:val="0"/>
                <w:numId w:val="9"/>
              </w:numPr>
              <w:jc w:val="right"/>
              <w:rPr>
                <w:rFonts w:cstheme="minorHAnsi"/>
                <w:b/>
              </w:rPr>
            </w:pPr>
          </w:p>
        </w:tc>
      </w:tr>
      <w:tr w:rsidR="00F1527A" w:rsidRPr="00F1527A" w:rsidTr="00946C4D">
        <w:trPr>
          <w:gridAfter w:val="1"/>
          <w:wAfter w:w="3" w:type="pct"/>
          <w:trHeight w:val="326"/>
        </w:trPr>
        <w:tc>
          <w:tcPr>
            <w:tcW w:w="1174" w:type="pct"/>
            <w:tcBorders>
              <w:top w:val="single" w:sz="4" w:space="0" w:color="auto"/>
              <w:left w:val="single" w:sz="4" w:space="0" w:color="auto"/>
              <w:bottom w:val="single" w:sz="4" w:space="0" w:color="auto"/>
              <w:right w:val="single" w:sz="4" w:space="0" w:color="auto"/>
            </w:tcBorders>
            <w:shd w:val="clear" w:color="auto" w:fill="auto"/>
          </w:tcPr>
          <w:p w:rsidR="00F1527A" w:rsidRPr="00F1527A" w:rsidRDefault="00F1527A" w:rsidP="00946C4D">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F1527A" w:rsidRPr="00F1527A" w:rsidRDefault="00F1527A" w:rsidP="00946C4D">
            <w:pPr>
              <w:rPr>
                <w:rFonts w:asciiTheme="minorHAnsi" w:hAnsiTheme="minorHAnsi" w:cstheme="minorHAnsi"/>
                <w:b/>
              </w:rPr>
            </w:pPr>
            <w:r w:rsidRPr="00F1527A">
              <w:rPr>
                <w:rFonts w:asciiTheme="minorHAnsi" w:hAnsiTheme="minorHAnsi" w:cstheme="minorHAnsi"/>
                <w:b/>
                <w:sz w:val="22"/>
              </w:rPr>
              <w:t>TOTALE PROVENTI ED ONERI FINANZIARI (C)</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F1527A" w:rsidRPr="00F1527A" w:rsidRDefault="00CC10AF" w:rsidP="00946C4D">
            <w:pPr>
              <w:jc w:val="right"/>
              <w:rPr>
                <w:rFonts w:asciiTheme="minorHAnsi" w:hAnsiTheme="minorHAnsi" w:cstheme="minorHAnsi"/>
                <w:b/>
              </w:rPr>
            </w:pPr>
            <w:r>
              <w:rPr>
                <w:rFonts w:asciiTheme="minorHAnsi" w:hAnsiTheme="minorHAnsi" w:cstheme="minorHAnsi"/>
                <w:b/>
                <w:sz w:val="22"/>
              </w:rPr>
              <w:t>0,</w:t>
            </w:r>
            <w:r w:rsidR="002F000E">
              <w:rPr>
                <w:rFonts w:asciiTheme="minorHAnsi" w:hAnsiTheme="minorHAnsi" w:cstheme="minorHAnsi"/>
                <w:b/>
                <w:sz w:val="22"/>
              </w:rPr>
              <w:t>04</w:t>
            </w:r>
          </w:p>
        </w:tc>
      </w:tr>
    </w:tbl>
    <w:p w:rsidR="00AB6282" w:rsidRPr="00C316B0" w:rsidRDefault="00AB6282" w:rsidP="00FD1C8A">
      <w:pPr>
        <w:jc w:val="both"/>
        <w:rPr>
          <w:rFonts w:asciiTheme="minorHAnsi" w:hAnsiTheme="minorHAnsi" w:cstheme="minorHAnsi"/>
        </w:rPr>
      </w:pPr>
    </w:p>
    <w:p w:rsidR="00DD5A7E" w:rsidRDefault="00DD5A7E" w:rsidP="00FD1C8A">
      <w:pPr>
        <w:jc w:val="both"/>
        <w:rPr>
          <w:rFonts w:asciiTheme="minorHAnsi" w:hAnsiTheme="minorHAnsi" w:cstheme="minorHAnsi"/>
        </w:rPr>
      </w:pPr>
    </w:p>
    <w:p w:rsidR="00B00096" w:rsidRDefault="00B00096" w:rsidP="00FD1C8A">
      <w:pPr>
        <w:jc w:val="both"/>
        <w:rPr>
          <w:rFonts w:asciiTheme="minorHAnsi" w:hAnsiTheme="minorHAnsi" w:cstheme="minorHAnsi"/>
        </w:rPr>
      </w:pPr>
    </w:p>
    <w:p w:rsidR="00B00096" w:rsidRDefault="00B00096" w:rsidP="00FD1C8A">
      <w:pPr>
        <w:jc w:val="both"/>
        <w:rPr>
          <w:rFonts w:asciiTheme="minorHAnsi" w:hAnsiTheme="minorHAnsi" w:cstheme="minorHAnsi"/>
        </w:rPr>
      </w:pPr>
    </w:p>
    <w:p w:rsidR="00B00096" w:rsidRDefault="00B00096" w:rsidP="00FD1C8A">
      <w:pPr>
        <w:jc w:val="both"/>
        <w:rPr>
          <w:rFonts w:asciiTheme="minorHAnsi" w:hAnsiTheme="minorHAnsi" w:cstheme="minorHAnsi"/>
        </w:rPr>
      </w:pPr>
    </w:p>
    <w:p w:rsidR="00B00096" w:rsidRDefault="00B00096" w:rsidP="00FD1C8A">
      <w:pPr>
        <w:jc w:val="both"/>
        <w:rPr>
          <w:rFonts w:asciiTheme="minorHAnsi" w:hAnsiTheme="minorHAnsi" w:cstheme="minorHAnsi"/>
        </w:rPr>
      </w:pPr>
    </w:p>
    <w:p w:rsidR="002E792B" w:rsidRDefault="002E792B" w:rsidP="00FD1C8A">
      <w:pPr>
        <w:jc w:val="both"/>
        <w:rPr>
          <w:rFonts w:asciiTheme="minorHAnsi" w:hAnsiTheme="minorHAnsi" w:cstheme="minorHAnsi"/>
        </w:rPr>
      </w:pPr>
    </w:p>
    <w:p w:rsidR="00B00096" w:rsidRDefault="00B00096" w:rsidP="00FD1C8A">
      <w:pPr>
        <w:jc w:val="both"/>
        <w:rPr>
          <w:rFonts w:asciiTheme="minorHAnsi" w:hAnsiTheme="minorHAnsi" w:cstheme="minorHAnsi"/>
        </w:rPr>
      </w:pPr>
    </w:p>
    <w:p w:rsidR="00B00096" w:rsidRDefault="00B00096" w:rsidP="00FD1C8A">
      <w:pPr>
        <w:jc w:val="both"/>
        <w:rPr>
          <w:rFonts w:asciiTheme="minorHAnsi" w:hAnsiTheme="minorHAnsi" w:cstheme="minorHAnsi"/>
        </w:rPr>
      </w:pPr>
    </w:p>
    <w:p w:rsidR="00B00096" w:rsidRPr="00C316B0" w:rsidRDefault="00B00096" w:rsidP="00FD1C8A">
      <w:pPr>
        <w:jc w:val="both"/>
        <w:rPr>
          <w:rFonts w:asciiTheme="minorHAnsi" w:hAnsiTheme="minorHAnsi" w:cstheme="minorHAnsi"/>
        </w:rPr>
      </w:pPr>
    </w:p>
    <w:p w:rsidR="005F7CA9" w:rsidRPr="00C316B0" w:rsidRDefault="005F7CA9" w:rsidP="00FD1C8A">
      <w:pPr>
        <w:pStyle w:val="Titolo2"/>
        <w:jc w:val="both"/>
        <w:rPr>
          <w:rFonts w:asciiTheme="minorHAnsi" w:hAnsiTheme="minorHAnsi" w:cstheme="minorHAnsi"/>
          <w:sz w:val="24"/>
          <w:szCs w:val="24"/>
        </w:rPr>
      </w:pPr>
      <w:bookmarkStart w:id="7" w:name="_Toc509783934"/>
      <w:r w:rsidRPr="00C316B0">
        <w:rPr>
          <w:rFonts w:asciiTheme="minorHAnsi" w:hAnsiTheme="minorHAnsi" w:cstheme="minorHAnsi"/>
          <w:sz w:val="24"/>
          <w:szCs w:val="24"/>
        </w:rPr>
        <w:lastRenderedPageBreak/>
        <w:t>LA GESTIONE STRAORDINARIA</w:t>
      </w:r>
      <w:bookmarkEnd w:id="7"/>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 xml:space="preserve">La gestione straordinaria del </w:t>
      </w:r>
      <w:r w:rsidR="00D42432" w:rsidRPr="00C316B0">
        <w:rPr>
          <w:rFonts w:asciiTheme="minorHAnsi" w:hAnsiTheme="minorHAnsi" w:cstheme="minorHAnsi"/>
        </w:rPr>
        <w:t xml:space="preserve">Comune di </w:t>
      </w:r>
      <w:r w:rsidR="00234999">
        <w:rPr>
          <w:rFonts w:asciiTheme="minorHAnsi" w:hAnsiTheme="minorHAnsi" w:cstheme="minorHAnsi"/>
        </w:rPr>
        <w:t>Poggio San Vicino</w:t>
      </w:r>
      <w:r w:rsidR="005D5798" w:rsidRPr="00C316B0">
        <w:rPr>
          <w:rFonts w:asciiTheme="minorHAnsi" w:hAnsiTheme="minorHAnsi" w:cstheme="minorHAnsi"/>
        </w:rPr>
        <w:t xml:space="preserve"> </w:t>
      </w:r>
      <w:r w:rsidR="00CA448C" w:rsidRPr="00C316B0">
        <w:rPr>
          <w:rFonts w:asciiTheme="minorHAnsi" w:hAnsiTheme="minorHAnsi" w:cstheme="minorHAnsi"/>
        </w:rPr>
        <w:t>è stata</w:t>
      </w:r>
      <w:r w:rsidRPr="00C316B0">
        <w:rPr>
          <w:rFonts w:asciiTheme="minorHAnsi" w:hAnsiTheme="minorHAnsi" w:cstheme="minorHAnsi"/>
        </w:rPr>
        <w:t xml:space="preserve"> alimenta</w:t>
      </w:r>
      <w:r w:rsidR="00CA448C" w:rsidRPr="00C316B0">
        <w:rPr>
          <w:rFonts w:asciiTheme="minorHAnsi" w:hAnsiTheme="minorHAnsi" w:cstheme="minorHAnsi"/>
        </w:rPr>
        <w:t>ta,</w:t>
      </w:r>
      <w:r w:rsidRPr="00C316B0">
        <w:rPr>
          <w:rFonts w:asciiTheme="minorHAnsi" w:hAnsiTheme="minorHAnsi" w:cstheme="minorHAnsi"/>
        </w:rPr>
        <w:t xml:space="preserve"> essenzialmente</w:t>
      </w:r>
      <w:r w:rsidR="00CA448C" w:rsidRPr="00C316B0">
        <w:rPr>
          <w:rFonts w:asciiTheme="minorHAnsi" w:hAnsiTheme="minorHAnsi" w:cstheme="minorHAnsi"/>
        </w:rPr>
        <w:t>,</w:t>
      </w:r>
      <w:r w:rsidRPr="00C316B0">
        <w:rPr>
          <w:rFonts w:asciiTheme="minorHAnsi" w:hAnsiTheme="minorHAnsi" w:cstheme="minorHAnsi"/>
        </w:rPr>
        <w:t xml:space="preserve"> dalla movimentazione degli impegni e accertamenti in c/residui derivanti dalla contabilità finanziaria, oltre che da </w:t>
      </w:r>
      <w:r w:rsidR="00CD702F" w:rsidRPr="00C316B0">
        <w:rPr>
          <w:rFonts w:asciiTheme="minorHAnsi" w:hAnsiTheme="minorHAnsi" w:cstheme="minorHAnsi"/>
        </w:rPr>
        <w:t>alcune</w:t>
      </w:r>
      <w:r w:rsidRPr="00C316B0">
        <w:rPr>
          <w:rFonts w:asciiTheme="minorHAnsi" w:hAnsiTheme="minorHAnsi" w:cstheme="minorHAnsi"/>
        </w:rPr>
        <w:t xml:space="preserve"> altre sopravvenienze attive e passive derivanti dalle scritture di assestamento</w:t>
      </w:r>
      <w:r w:rsidR="00CD702F" w:rsidRPr="00C316B0">
        <w:rPr>
          <w:rFonts w:asciiTheme="minorHAnsi" w:hAnsiTheme="minorHAnsi" w:cstheme="minorHAnsi"/>
        </w:rPr>
        <w:t xml:space="preserve">, rettifica ed integrazione previste dal principio contabile applicato </w:t>
      </w:r>
      <w:r w:rsidR="00CA448C" w:rsidRPr="00C316B0">
        <w:rPr>
          <w:rFonts w:asciiTheme="minorHAnsi" w:hAnsiTheme="minorHAnsi" w:cstheme="minorHAnsi"/>
        </w:rPr>
        <w:t xml:space="preserve">n. </w:t>
      </w:r>
      <w:r w:rsidR="00CD702F" w:rsidRPr="00C316B0">
        <w:rPr>
          <w:rFonts w:asciiTheme="minorHAnsi" w:hAnsiTheme="minorHAnsi" w:cstheme="minorHAnsi"/>
        </w:rPr>
        <w:t>4/3</w:t>
      </w:r>
      <w:r w:rsidRPr="00C316B0">
        <w:rPr>
          <w:rFonts w:asciiTheme="minorHAnsi" w:hAnsiTheme="minorHAnsi" w:cstheme="minorHAnsi"/>
        </w:rPr>
        <w:t>.</w:t>
      </w:r>
    </w:p>
    <w:p w:rsidR="005F7CA9" w:rsidRPr="00C316B0" w:rsidRDefault="005F7CA9" w:rsidP="00FD1C8A">
      <w:pPr>
        <w:jc w:val="both"/>
        <w:rPr>
          <w:rFonts w:asciiTheme="minorHAnsi" w:hAnsiTheme="minorHAnsi" w:cstheme="minorHAnsi"/>
        </w:rPr>
      </w:pPr>
      <w:r w:rsidRPr="00C316B0">
        <w:rPr>
          <w:rFonts w:asciiTheme="minorHAnsi" w:hAnsiTheme="minorHAnsi" w:cstheme="minorHAnsi"/>
        </w:rPr>
        <w:t>Il dettagli</w:t>
      </w:r>
      <w:r w:rsidR="00CA448C" w:rsidRPr="00C316B0">
        <w:rPr>
          <w:rFonts w:asciiTheme="minorHAnsi" w:hAnsiTheme="minorHAnsi" w:cstheme="minorHAnsi"/>
        </w:rPr>
        <w:t>o</w:t>
      </w:r>
      <w:r w:rsidRPr="00C316B0">
        <w:rPr>
          <w:rFonts w:asciiTheme="minorHAnsi" w:hAnsiTheme="minorHAnsi" w:cstheme="minorHAnsi"/>
        </w:rPr>
        <w:t xml:space="preserve"> è il seguente:</w:t>
      </w:r>
    </w:p>
    <w:p w:rsidR="005D5798" w:rsidRPr="00C316B0" w:rsidRDefault="005D5798" w:rsidP="00FD1C8A">
      <w:pPr>
        <w:jc w:val="both"/>
        <w:rPr>
          <w:rFonts w:asciiTheme="minorHAnsi" w:hAnsiTheme="minorHAnsi"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32"/>
        <w:gridCol w:w="5616"/>
        <w:gridCol w:w="1436"/>
      </w:tblGrid>
      <w:tr w:rsidR="005D5798" w:rsidRPr="00C316B0" w:rsidTr="00B63F39">
        <w:trPr>
          <w:trHeight w:val="255"/>
        </w:trPr>
        <w:tc>
          <w:tcPr>
            <w:tcW w:w="1396" w:type="pct"/>
            <w:shd w:val="clear" w:color="DDEBF7" w:fill="DDEBF7"/>
            <w:hideMark/>
          </w:tcPr>
          <w:p w:rsidR="005D5798" w:rsidRPr="00C316B0" w:rsidRDefault="005D5798" w:rsidP="00FE1D42">
            <w:pPr>
              <w:rPr>
                <w:rFonts w:asciiTheme="minorHAnsi" w:hAnsiTheme="minorHAnsi" w:cstheme="minorHAnsi"/>
                <w:b/>
                <w:bCs/>
                <w:color w:val="000000"/>
              </w:rPr>
            </w:pPr>
            <w:r w:rsidRPr="00C316B0">
              <w:rPr>
                <w:rFonts w:asciiTheme="minorHAnsi" w:hAnsiTheme="minorHAnsi" w:cstheme="minorHAnsi"/>
                <w:b/>
                <w:bCs/>
                <w:color w:val="000000"/>
              </w:rPr>
              <w:t>RIF_PROSPETTO</w:t>
            </w:r>
          </w:p>
        </w:tc>
        <w:tc>
          <w:tcPr>
            <w:tcW w:w="2870" w:type="pct"/>
            <w:shd w:val="clear" w:color="DDEBF7" w:fill="DDEBF7"/>
            <w:hideMark/>
          </w:tcPr>
          <w:p w:rsidR="005D5798" w:rsidRPr="00C316B0" w:rsidRDefault="005D5798" w:rsidP="00FE1D42">
            <w:pPr>
              <w:rPr>
                <w:rFonts w:asciiTheme="minorHAnsi" w:hAnsiTheme="minorHAnsi" w:cstheme="minorHAnsi"/>
                <w:b/>
                <w:bCs/>
                <w:color w:val="000000"/>
              </w:rPr>
            </w:pPr>
            <w:r w:rsidRPr="00C316B0">
              <w:rPr>
                <w:rFonts w:asciiTheme="minorHAnsi" w:hAnsiTheme="minorHAnsi" w:cstheme="minorHAnsi"/>
                <w:b/>
                <w:bCs/>
                <w:color w:val="000000"/>
              </w:rPr>
              <w:t>PIANO DEI CONTI</w:t>
            </w:r>
          </w:p>
        </w:tc>
        <w:tc>
          <w:tcPr>
            <w:tcW w:w="734" w:type="pct"/>
            <w:shd w:val="clear" w:color="DDEBF7" w:fill="DDEBF7"/>
            <w:noWrap/>
            <w:hideMark/>
          </w:tcPr>
          <w:p w:rsidR="005D5798" w:rsidRPr="00C316B0" w:rsidRDefault="005D5798" w:rsidP="00FE1D42">
            <w:pPr>
              <w:jc w:val="right"/>
              <w:rPr>
                <w:rFonts w:asciiTheme="minorHAnsi" w:hAnsiTheme="minorHAnsi" w:cstheme="minorHAnsi"/>
                <w:b/>
                <w:bCs/>
                <w:color w:val="000000"/>
              </w:rPr>
            </w:pPr>
            <w:r w:rsidRPr="00C316B0">
              <w:rPr>
                <w:rFonts w:asciiTheme="minorHAnsi" w:hAnsiTheme="minorHAnsi" w:cstheme="minorHAnsi"/>
                <w:b/>
                <w:bCs/>
                <w:color w:val="000000"/>
              </w:rPr>
              <w:t>2018</w:t>
            </w:r>
          </w:p>
        </w:tc>
      </w:tr>
      <w:tr w:rsidR="005D5798" w:rsidRPr="00B63F39" w:rsidTr="00B63F39">
        <w:trPr>
          <w:trHeight w:val="185"/>
        </w:trPr>
        <w:tc>
          <w:tcPr>
            <w:tcW w:w="1396" w:type="pct"/>
            <w:shd w:val="clear" w:color="auto" w:fill="auto"/>
          </w:tcPr>
          <w:p w:rsidR="005D5798" w:rsidRPr="00B63F39" w:rsidRDefault="005D5798" w:rsidP="00FE1D42">
            <w:pPr>
              <w:rPr>
                <w:rFonts w:asciiTheme="minorHAnsi" w:hAnsiTheme="minorHAnsi" w:cstheme="minorHAnsi"/>
                <w:bCs/>
                <w:color w:val="000000"/>
              </w:rPr>
            </w:pPr>
          </w:p>
        </w:tc>
        <w:tc>
          <w:tcPr>
            <w:tcW w:w="2870" w:type="pct"/>
            <w:shd w:val="clear" w:color="auto" w:fill="auto"/>
          </w:tcPr>
          <w:p w:rsidR="005D5798" w:rsidRPr="00B63F39" w:rsidRDefault="005D5798" w:rsidP="00FE1D42">
            <w:pPr>
              <w:rPr>
                <w:rFonts w:asciiTheme="minorHAnsi" w:hAnsiTheme="minorHAnsi" w:cstheme="minorHAnsi"/>
              </w:rPr>
            </w:pPr>
          </w:p>
        </w:tc>
        <w:tc>
          <w:tcPr>
            <w:tcW w:w="734" w:type="pct"/>
            <w:shd w:val="clear" w:color="auto" w:fill="auto"/>
            <w:noWrap/>
          </w:tcPr>
          <w:p w:rsidR="005D5798" w:rsidRPr="00B63F39" w:rsidRDefault="005D5798" w:rsidP="00FE1D42">
            <w:pPr>
              <w:jc w:val="right"/>
              <w:rPr>
                <w:rFonts w:asciiTheme="minorHAnsi" w:hAnsiTheme="minorHAnsi" w:cstheme="minorHAnsi"/>
              </w:rPr>
            </w:pPr>
          </w:p>
        </w:tc>
      </w:tr>
      <w:tr w:rsidR="00B63F39" w:rsidRPr="00B63F39"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B63F39" w:rsidRPr="00B63F39" w:rsidRDefault="00B63F39" w:rsidP="00B63F39">
            <w:pPr>
              <w:rPr>
                <w:rFonts w:asciiTheme="minorHAnsi" w:hAnsiTheme="minorHAnsi" w:cstheme="minorHAnsi"/>
                <w:bCs/>
                <w:color w:val="000000"/>
              </w:rPr>
            </w:pPr>
            <w:r w:rsidRPr="00B63F39">
              <w:rPr>
                <w:rFonts w:asciiTheme="minorHAnsi" w:hAnsiTheme="minorHAnsi" w:cstheme="minorHAnsi"/>
                <w:bCs/>
                <w:color w:val="000000"/>
                <w:sz w:val="22"/>
              </w:rPr>
              <w:t>E24a - Proventi da permessi di costruire</w:t>
            </w: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B63F39" w:rsidRPr="00B63F39" w:rsidRDefault="00B63F39" w:rsidP="00B63F39">
            <w:pPr>
              <w:rPr>
                <w:rFonts w:asciiTheme="minorHAnsi" w:hAnsiTheme="minorHAnsi" w:cstheme="minorHAnsi"/>
              </w:rPr>
            </w:pPr>
            <w:r w:rsidRPr="00B63F39">
              <w:rPr>
                <w:rFonts w:asciiTheme="minorHAnsi" w:hAnsiTheme="minorHAnsi" w:cstheme="minorHAnsi"/>
                <w:sz w:val="22"/>
              </w:rPr>
              <w:t>5.2.9.02.01.001 - Permessi di costruire</w:t>
            </w: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B63F39" w:rsidRPr="00B63F39" w:rsidRDefault="00B63F39" w:rsidP="00B63F39">
            <w:pPr>
              <w:jc w:val="right"/>
              <w:rPr>
                <w:rFonts w:asciiTheme="minorHAnsi" w:hAnsiTheme="minorHAnsi" w:cstheme="minorHAnsi"/>
              </w:rPr>
            </w:pPr>
            <w:r>
              <w:rPr>
                <w:rFonts w:asciiTheme="minorHAnsi" w:hAnsiTheme="minorHAnsi" w:cstheme="minorHAnsi"/>
                <w:sz w:val="22"/>
              </w:rPr>
              <w:t xml:space="preserve">         </w:t>
            </w:r>
            <w:r w:rsidRPr="00B63F39">
              <w:rPr>
                <w:rFonts w:asciiTheme="minorHAnsi" w:hAnsiTheme="minorHAnsi" w:cstheme="minorHAnsi"/>
                <w:sz w:val="22"/>
              </w:rPr>
              <w:t xml:space="preserve">2.210,31 </w:t>
            </w:r>
          </w:p>
        </w:tc>
      </w:tr>
      <w:tr w:rsidR="00B63F39" w:rsidRPr="00B63F39"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B63F39" w:rsidRPr="00B63F39" w:rsidRDefault="00B63F39" w:rsidP="00B63F39">
            <w:pPr>
              <w:rPr>
                <w:rFonts w:asciiTheme="minorHAnsi" w:hAnsiTheme="minorHAnsi" w:cstheme="minorHAnsi"/>
                <w:bCs/>
                <w:color w:val="000000"/>
              </w:rPr>
            </w:pPr>
            <w:r w:rsidRPr="00B63F39">
              <w:rPr>
                <w:rFonts w:asciiTheme="minorHAnsi" w:hAnsiTheme="minorHAnsi" w:cstheme="minorHAnsi"/>
                <w:bCs/>
                <w:color w:val="000000"/>
                <w:sz w:val="22"/>
              </w:rPr>
              <w:t>E24c - Sopravvenienze attive e insussistenze del passivo</w:t>
            </w: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B63F39" w:rsidRPr="00B63F39" w:rsidRDefault="00B63F39" w:rsidP="00B63F39">
            <w:pPr>
              <w:rPr>
                <w:rFonts w:asciiTheme="minorHAnsi" w:hAnsiTheme="minorHAnsi" w:cstheme="minorHAnsi"/>
              </w:rPr>
            </w:pPr>
            <w:r w:rsidRPr="00B63F39">
              <w:rPr>
                <w:rFonts w:asciiTheme="minorHAnsi" w:hAnsiTheme="minorHAnsi" w:cstheme="minorHAnsi"/>
                <w:sz w:val="22"/>
              </w:rPr>
              <w:t>5.2.2.01.01.001 - Insussistenze del passivo</w:t>
            </w: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B63F39" w:rsidRPr="00B63F39" w:rsidRDefault="00B63F39" w:rsidP="00B63F39">
            <w:pPr>
              <w:jc w:val="right"/>
              <w:rPr>
                <w:rFonts w:asciiTheme="minorHAnsi" w:hAnsiTheme="minorHAnsi" w:cstheme="minorHAnsi"/>
              </w:rPr>
            </w:pPr>
            <w:r>
              <w:rPr>
                <w:rFonts w:asciiTheme="minorHAnsi" w:hAnsiTheme="minorHAnsi" w:cstheme="minorHAnsi"/>
                <w:sz w:val="22"/>
              </w:rPr>
              <w:t xml:space="preserve">       </w:t>
            </w:r>
            <w:r w:rsidRPr="00B63F39">
              <w:rPr>
                <w:rFonts w:asciiTheme="minorHAnsi" w:hAnsiTheme="minorHAnsi" w:cstheme="minorHAnsi"/>
                <w:sz w:val="22"/>
              </w:rPr>
              <w:t xml:space="preserve">72.231,54 </w:t>
            </w:r>
          </w:p>
        </w:tc>
      </w:tr>
      <w:tr w:rsidR="00FE1D42" w:rsidRPr="00FE1D42"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FE1D42" w:rsidRPr="00FE1D42" w:rsidRDefault="00FE1D42" w:rsidP="00FE1D42">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FE1D42" w:rsidRPr="00FE1D42" w:rsidRDefault="00FE1D42" w:rsidP="00FE1D42">
            <w:pPr>
              <w:rPr>
                <w:rFonts w:asciiTheme="minorHAnsi" w:hAnsiTheme="minorHAnsi" w:cstheme="minorHAnsi"/>
                <w:b/>
              </w:rPr>
            </w:pPr>
            <w:r w:rsidRPr="00FE1D42">
              <w:rPr>
                <w:rFonts w:asciiTheme="minorHAnsi" w:hAnsiTheme="minorHAnsi" w:cstheme="minorHAnsi"/>
                <w:b/>
                <w:sz w:val="22"/>
              </w:rPr>
              <w:t>Totale proventi straordinari</w:t>
            </w: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FE1D42" w:rsidRPr="00FE1D42" w:rsidRDefault="00B63F39" w:rsidP="00B63F39">
            <w:pPr>
              <w:jc w:val="right"/>
              <w:rPr>
                <w:rFonts w:asciiTheme="minorHAnsi" w:hAnsiTheme="minorHAnsi" w:cstheme="minorHAnsi"/>
                <w:b/>
              </w:rPr>
            </w:pPr>
            <w:r>
              <w:rPr>
                <w:rFonts w:asciiTheme="minorHAnsi" w:hAnsiTheme="minorHAnsi" w:cstheme="minorHAnsi"/>
                <w:b/>
                <w:sz w:val="22"/>
              </w:rPr>
              <w:t>74.441,85</w:t>
            </w:r>
          </w:p>
        </w:tc>
      </w:tr>
      <w:tr w:rsidR="00B63F39" w:rsidRPr="00B63F39"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B63F39" w:rsidRPr="00B63F39" w:rsidRDefault="00B63F39" w:rsidP="00B63F39">
            <w:pPr>
              <w:rPr>
                <w:rFonts w:asciiTheme="minorHAnsi" w:hAnsiTheme="minorHAnsi" w:cstheme="minorHAnsi"/>
                <w:bCs/>
                <w:color w:val="000000"/>
              </w:rPr>
            </w:pPr>
            <w:r w:rsidRPr="00B63F39">
              <w:rPr>
                <w:rFonts w:asciiTheme="minorHAnsi" w:hAnsiTheme="minorHAnsi" w:cstheme="minorHAnsi"/>
                <w:bCs/>
                <w:color w:val="000000"/>
                <w:sz w:val="22"/>
              </w:rPr>
              <w:t>E25b - Sopravvenienze passive e insussistenze dell'attivo</w:t>
            </w: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B63F39" w:rsidRPr="00B63F39" w:rsidRDefault="00B63F39" w:rsidP="00B63F39">
            <w:pPr>
              <w:rPr>
                <w:rFonts w:asciiTheme="minorHAnsi" w:hAnsiTheme="minorHAnsi" w:cstheme="minorHAnsi"/>
              </w:rPr>
            </w:pPr>
            <w:r w:rsidRPr="00B63F39">
              <w:rPr>
                <w:rFonts w:asciiTheme="minorHAnsi" w:hAnsiTheme="minorHAnsi" w:cstheme="minorHAnsi"/>
                <w:sz w:val="22"/>
              </w:rPr>
              <w:t>5.1.2</w:t>
            </w:r>
            <w:r>
              <w:rPr>
                <w:rFonts w:asciiTheme="minorHAnsi" w:hAnsiTheme="minorHAnsi" w:cstheme="minorHAnsi"/>
                <w:sz w:val="22"/>
              </w:rPr>
              <w:t>.01.01.001 - Insussistenze dell’</w:t>
            </w:r>
            <w:r w:rsidRPr="00B63F39">
              <w:rPr>
                <w:rFonts w:asciiTheme="minorHAnsi" w:hAnsiTheme="minorHAnsi" w:cstheme="minorHAnsi"/>
                <w:sz w:val="22"/>
              </w:rPr>
              <w:t>attivo</w:t>
            </w: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B63F39" w:rsidRPr="00B63F39" w:rsidRDefault="00B63F39" w:rsidP="00B63F39">
            <w:pPr>
              <w:jc w:val="right"/>
              <w:rPr>
                <w:rFonts w:asciiTheme="minorHAnsi" w:hAnsiTheme="minorHAnsi" w:cstheme="minorHAnsi"/>
              </w:rPr>
            </w:pPr>
            <w:r>
              <w:rPr>
                <w:rFonts w:asciiTheme="minorHAnsi" w:hAnsiTheme="minorHAnsi" w:cstheme="minorHAnsi"/>
                <w:sz w:val="22"/>
              </w:rPr>
              <w:t xml:space="preserve">-      </w:t>
            </w:r>
            <w:r w:rsidRPr="00B63F39">
              <w:rPr>
                <w:rFonts w:asciiTheme="minorHAnsi" w:hAnsiTheme="minorHAnsi" w:cstheme="minorHAnsi"/>
                <w:sz w:val="22"/>
              </w:rPr>
              <w:t xml:space="preserve">78.349,62 </w:t>
            </w:r>
          </w:p>
        </w:tc>
      </w:tr>
      <w:tr w:rsidR="00B63F39" w:rsidRPr="00FE1D42"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B63F39" w:rsidRPr="00FE1D42" w:rsidRDefault="00B63F39" w:rsidP="00FE1D42">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B63F39" w:rsidRPr="00FE1D42" w:rsidRDefault="00B63F39" w:rsidP="00FE1D42">
            <w:pPr>
              <w:rPr>
                <w:rFonts w:asciiTheme="minorHAnsi" w:hAnsiTheme="minorHAnsi" w:cstheme="minorHAnsi"/>
                <w:b/>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B63F39" w:rsidRPr="00FE1D42" w:rsidRDefault="00B63F39" w:rsidP="00B63F39">
            <w:pPr>
              <w:jc w:val="right"/>
              <w:rPr>
                <w:rFonts w:asciiTheme="minorHAnsi" w:hAnsiTheme="minorHAnsi" w:cstheme="minorHAnsi"/>
                <w:b/>
              </w:rPr>
            </w:pPr>
          </w:p>
        </w:tc>
      </w:tr>
      <w:tr w:rsidR="00FE1D42" w:rsidRPr="00FE1D42"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FE1D42" w:rsidRPr="00FE1D42" w:rsidRDefault="00FE1D42" w:rsidP="00FE1D42">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FE1D42" w:rsidRPr="00FE1D42" w:rsidRDefault="00FE1D42" w:rsidP="00FE1D42">
            <w:pPr>
              <w:rPr>
                <w:rFonts w:asciiTheme="minorHAnsi" w:hAnsiTheme="minorHAnsi" w:cstheme="minorHAnsi"/>
                <w:b/>
              </w:rPr>
            </w:pPr>
            <w:r w:rsidRPr="00FE1D42">
              <w:rPr>
                <w:rFonts w:asciiTheme="minorHAnsi" w:hAnsiTheme="minorHAnsi" w:cstheme="minorHAnsi"/>
                <w:b/>
                <w:sz w:val="22"/>
              </w:rPr>
              <w:t>Totale oneri straordinari</w:t>
            </w: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FE1D42" w:rsidRPr="00FE1D42" w:rsidRDefault="00B63F39" w:rsidP="00B63F39">
            <w:pPr>
              <w:jc w:val="right"/>
              <w:rPr>
                <w:rFonts w:asciiTheme="minorHAnsi" w:hAnsiTheme="minorHAnsi" w:cstheme="minorHAnsi"/>
                <w:b/>
              </w:rPr>
            </w:pPr>
            <w:r>
              <w:rPr>
                <w:rFonts w:asciiTheme="minorHAnsi" w:hAnsiTheme="minorHAnsi" w:cstheme="minorHAnsi"/>
                <w:b/>
                <w:sz w:val="22"/>
              </w:rPr>
              <w:t>-78.349,62</w:t>
            </w:r>
          </w:p>
        </w:tc>
      </w:tr>
      <w:tr w:rsidR="00FE1D42" w:rsidRPr="00FE1D42" w:rsidTr="00B63F39">
        <w:trPr>
          <w:trHeight w:val="185"/>
        </w:trPr>
        <w:tc>
          <w:tcPr>
            <w:tcW w:w="1396" w:type="pct"/>
            <w:tcBorders>
              <w:top w:val="single" w:sz="4" w:space="0" w:color="auto"/>
              <w:left w:val="single" w:sz="4" w:space="0" w:color="auto"/>
              <w:bottom w:val="single" w:sz="4" w:space="0" w:color="auto"/>
              <w:right w:val="single" w:sz="4" w:space="0" w:color="auto"/>
            </w:tcBorders>
            <w:shd w:val="clear" w:color="auto" w:fill="auto"/>
          </w:tcPr>
          <w:p w:rsidR="00FE1D42" w:rsidRPr="00FE1D42" w:rsidRDefault="00FE1D42" w:rsidP="00FE1D42">
            <w:pPr>
              <w:rPr>
                <w:rFonts w:asciiTheme="minorHAnsi" w:hAnsiTheme="minorHAnsi" w:cstheme="minorHAnsi"/>
                <w:b/>
                <w:bCs/>
                <w:color w:val="000000"/>
              </w:rPr>
            </w:pPr>
          </w:p>
        </w:tc>
        <w:tc>
          <w:tcPr>
            <w:tcW w:w="2870" w:type="pct"/>
            <w:tcBorders>
              <w:top w:val="single" w:sz="4" w:space="0" w:color="auto"/>
              <w:left w:val="single" w:sz="4" w:space="0" w:color="auto"/>
              <w:bottom w:val="single" w:sz="4" w:space="0" w:color="auto"/>
              <w:right w:val="single" w:sz="4" w:space="0" w:color="auto"/>
            </w:tcBorders>
            <w:shd w:val="clear" w:color="auto" w:fill="auto"/>
          </w:tcPr>
          <w:p w:rsidR="00FE1D42" w:rsidRPr="00FE1D42" w:rsidRDefault="00FE1D42" w:rsidP="00FE1D42">
            <w:pPr>
              <w:rPr>
                <w:rFonts w:asciiTheme="minorHAnsi" w:hAnsiTheme="minorHAnsi" w:cstheme="minorHAnsi"/>
                <w:b/>
              </w:rPr>
            </w:pPr>
            <w:r w:rsidRPr="00FE1D42">
              <w:rPr>
                <w:rFonts w:asciiTheme="minorHAnsi" w:hAnsiTheme="minorHAnsi" w:cstheme="minorHAnsi"/>
                <w:b/>
                <w:sz w:val="22"/>
              </w:rPr>
              <w:t>TOTALE PROVENTI ED ONERI STRAORDINARI (E)</w:t>
            </w:r>
          </w:p>
        </w:tc>
        <w:tc>
          <w:tcPr>
            <w:tcW w:w="734" w:type="pct"/>
            <w:tcBorders>
              <w:top w:val="single" w:sz="4" w:space="0" w:color="auto"/>
              <w:left w:val="single" w:sz="4" w:space="0" w:color="auto"/>
              <w:bottom w:val="single" w:sz="4" w:space="0" w:color="auto"/>
              <w:right w:val="single" w:sz="4" w:space="0" w:color="auto"/>
            </w:tcBorders>
            <w:shd w:val="clear" w:color="auto" w:fill="auto"/>
            <w:noWrap/>
          </w:tcPr>
          <w:p w:rsidR="00FE1D42" w:rsidRPr="00FE1D42" w:rsidRDefault="00B63F39" w:rsidP="00B63F39">
            <w:pPr>
              <w:jc w:val="right"/>
              <w:rPr>
                <w:rFonts w:asciiTheme="minorHAnsi" w:hAnsiTheme="minorHAnsi" w:cstheme="minorHAnsi"/>
                <w:b/>
              </w:rPr>
            </w:pPr>
            <w:r>
              <w:rPr>
                <w:rFonts w:asciiTheme="minorHAnsi" w:hAnsiTheme="minorHAnsi" w:cstheme="minorHAnsi"/>
                <w:b/>
                <w:sz w:val="22"/>
              </w:rPr>
              <w:t>-3.907,77</w:t>
            </w:r>
          </w:p>
        </w:tc>
      </w:tr>
    </w:tbl>
    <w:p w:rsidR="00632705" w:rsidRDefault="00632705" w:rsidP="00FD1C8A">
      <w:pPr>
        <w:jc w:val="both"/>
        <w:rPr>
          <w:rFonts w:asciiTheme="minorHAnsi" w:hAnsiTheme="minorHAnsi" w:cstheme="minorHAnsi"/>
        </w:rPr>
      </w:pPr>
    </w:p>
    <w:p w:rsidR="00632705" w:rsidRPr="00632705" w:rsidRDefault="00632705" w:rsidP="00FD1C8A">
      <w:pPr>
        <w:jc w:val="both"/>
        <w:rPr>
          <w:rFonts w:asciiTheme="minorHAnsi" w:hAnsiTheme="minorHAnsi" w:cstheme="minorHAnsi"/>
          <w:b/>
        </w:rPr>
      </w:pPr>
      <w:r w:rsidRPr="00632705">
        <w:rPr>
          <w:rFonts w:asciiTheme="minorHAnsi" w:hAnsiTheme="minorHAnsi" w:cstheme="minorHAnsi"/>
          <w:b/>
        </w:rPr>
        <w:t xml:space="preserve">IMPOSTE </w:t>
      </w:r>
    </w:p>
    <w:p w:rsidR="00632705" w:rsidRDefault="00632705" w:rsidP="00FD1C8A">
      <w:pPr>
        <w:jc w:val="both"/>
        <w:rPr>
          <w:rFonts w:asciiTheme="minorHAnsi" w:hAnsiTheme="minorHAnsi" w:cstheme="minorHAnsi"/>
        </w:rPr>
      </w:pPr>
      <w:r>
        <w:rPr>
          <w:rFonts w:asciiTheme="minorHAnsi" w:hAnsiTheme="minorHAnsi" w:cstheme="minorHAnsi"/>
        </w:rPr>
        <w:t xml:space="preserve"> Le imposte sono riferite esclusivamente all’IRAP pagata dell’ente.</w:t>
      </w:r>
    </w:p>
    <w:p w:rsidR="00632705" w:rsidRPr="00C316B0" w:rsidRDefault="00632705" w:rsidP="00FD1C8A">
      <w:pPr>
        <w:jc w:val="both"/>
        <w:rPr>
          <w:rFonts w:asciiTheme="minorHAnsi" w:hAnsiTheme="minorHAnsi" w:cstheme="minorHAnsi"/>
        </w:rPr>
      </w:pPr>
    </w:p>
    <w:p w:rsidR="005F7CA9" w:rsidRPr="00C316B0" w:rsidRDefault="005F7CA9" w:rsidP="00FD1C8A">
      <w:pPr>
        <w:pStyle w:val="Titolo2"/>
        <w:jc w:val="both"/>
        <w:rPr>
          <w:rFonts w:asciiTheme="minorHAnsi" w:hAnsiTheme="minorHAnsi" w:cstheme="minorHAnsi"/>
          <w:sz w:val="24"/>
          <w:szCs w:val="24"/>
        </w:rPr>
      </w:pPr>
      <w:bookmarkStart w:id="8" w:name="_Toc509783935"/>
      <w:r w:rsidRPr="00C316B0">
        <w:rPr>
          <w:rFonts w:asciiTheme="minorHAnsi" w:hAnsiTheme="minorHAnsi" w:cstheme="minorHAnsi"/>
          <w:sz w:val="24"/>
          <w:szCs w:val="24"/>
        </w:rPr>
        <w:t>LE OSSERVAZIONI AL CONTO ECONOMICO</w:t>
      </w:r>
      <w:bookmarkEnd w:id="8"/>
    </w:p>
    <w:p w:rsidR="000B26B1" w:rsidRDefault="000B26B1" w:rsidP="00FD1C8A">
      <w:pPr>
        <w:jc w:val="both"/>
        <w:rPr>
          <w:rFonts w:asciiTheme="minorHAnsi" w:hAnsiTheme="minorHAnsi" w:cstheme="minorHAnsi"/>
        </w:rPr>
      </w:pPr>
      <w:r w:rsidRPr="00C316B0">
        <w:rPr>
          <w:rFonts w:asciiTheme="minorHAnsi" w:hAnsiTheme="minorHAnsi" w:cstheme="minorHAnsi"/>
        </w:rPr>
        <w:t>Il Conto Economico dell’esercizio 201</w:t>
      </w:r>
      <w:r w:rsidR="00CA448C" w:rsidRPr="00C316B0">
        <w:rPr>
          <w:rFonts w:asciiTheme="minorHAnsi" w:hAnsiTheme="minorHAnsi" w:cstheme="minorHAnsi"/>
        </w:rPr>
        <w:t>8</w:t>
      </w:r>
      <w:r w:rsidRPr="00C316B0">
        <w:rPr>
          <w:rFonts w:asciiTheme="minorHAnsi" w:hAnsiTheme="minorHAnsi" w:cstheme="minorHAnsi"/>
        </w:rPr>
        <w:t xml:space="preserve"> chiude con un Risultato d’esercizio di </w:t>
      </w:r>
      <w:r w:rsidR="00FE1D42">
        <w:rPr>
          <w:rFonts w:asciiTheme="minorHAnsi" w:hAnsiTheme="minorHAnsi" w:cstheme="minorHAnsi"/>
        </w:rPr>
        <w:t>€</w:t>
      </w:r>
      <w:r w:rsidR="00FE1D42" w:rsidRPr="00FE1D42">
        <w:t xml:space="preserve"> </w:t>
      </w:r>
      <w:r w:rsidR="001119B4">
        <w:rPr>
          <w:rFonts w:asciiTheme="minorHAnsi" w:hAnsiTheme="minorHAnsi" w:cstheme="minorHAnsi"/>
        </w:rPr>
        <w:t>5.297,22</w:t>
      </w:r>
      <w:r w:rsidR="00FE1D42">
        <w:rPr>
          <w:rFonts w:asciiTheme="minorHAnsi" w:hAnsiTheme="minorHAnsi" w:cstheme="minorHAnsi"/>
        </w:rPr>
        <w:t xml:space="preserve"> </w:t>
      </w:r>
      <w:r w:rsidR="005329EE" w:rsidRPr="00C316B0">
        <w:rPr>
          <w:rFonts w:asciiTheme="minorHAnsi" w:hAnsiTheme="minorHAnsi" w:cstheme="minorHAnsi"/>
        </w:rPr>
        <w:t xml:space="preserve">che si propone </w:t>
      </w:r>
      <w:r w:rsidR="006B4742" w:rsidRPr="00C316B0">
        <w:rPr>
          <w:rFonts w:asciiTheme="minorHAnsi" w:hAnsiTheme="minorHAnsi" w:cstheme="minorHAnsi"/>
        </w:rPr>
        <w:t>iscrivere tra le riserve da risultato economico.</w:t>
      </w:r>
    </w:p>
    <w:p w:rsidR="008D3A2A" w:rsidRDefault="008D3A2A" w:rsidP="00FD1C8A">
      <w:pPr>
        <w:jc w:val="both"/>
        <w:rPr>
          <w:rFonts w:asciiTheme="minorHAnsi" w:hAnsiTheme="minorHAnsi" w:cstheme="minorHAnsi"/>
        </w:rPr>
      </w:pPr>
    </w:p>
    <w:p w:rsidR="008D3A2A" w:rsidRDefault="008D3A2A" w:rsidP="00FD1C8A">
      <w:pPr>
        <w:jc w:val="both"/>
        <w:rPr>
          <w:rFonts w:asciiTheme="minorHAnsi" w:hAnsiTheme="minorHAnsi" w:cstheme="minorHAnsi"/>
        </w:rPr>
      </w:pPr>
    </w:p>
    <w:p w:rsidR="008D3A2A" w:rsidRDefault="008D3A2A" w:rsidP="00FD1C8A">
      <w:pPr>
        <w:jc w:val="both"/>
        <w:rPr>
          <w:rFonts w:asciiTheme="minorHAnsi" w:hAnsiTheme="minorHAnsi" w:cstheme="minorHAnsi"/>
        </w:rPr>
      </w:pPr>
    </w:p>
    <w:sectPr w:rsidR="008D3A2A" w:rsidSect="00F45AC7">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88" w:rsidRDefault="00931188" w:rsidP="00CD6953">
      <w:r>
        <w:separator/>
      </w:r>
    </w:p>
  </w:endnote>
  <w:endnote w:type="continuationSeparator" w:id="0">
    <w:p w:rsidR="00931188" w:rsidRDefault="00931188" w:rsidP="00CD695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5" w:rsidRDefault="00665285">
    <w:pPr>
      <w:pStyle w:val="Pidipa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Comune di Poggio San Vicino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sidR="00F45AC7" w:rsidRPr="00F45AC7">
      <w:rPr>
        <w:rFonts w:asciiTheme="minorHAnsi" w:eastAsiaTheme="minorEastAsia" w:hAnsiTheme="minorHAnsi" w:cstheme="minorBidi"/>
      </w:rPr>
      <w:fldChar w:fldCharType="begin"/>
    </w:r>
    <w:r>
      <w:instrText>PAGE   \* MERGEFORMAT</w:instrText>
    </w:r>
    <w:r w:rsidR="00F45AC7" w:rsidRPr="00F45AC7">
      <w:rPr>
        <w:rFonts w:asciiTheme="minorHAnsi" w:eastAsiaTheme="minorEastAsia" w:hAnsiTheme="minorHAnsi" w:cstheme="minorBidi"/>
      </w:rPr>
      <w:fldChar w:fldCharType="separate"/>
    </w:r>
    <w:r w:rsidR="00CC58CE" w:rsidRPr="00CC58CE">
      <w:rPr>
        <w:rFonts w:asciiTheme="majorHAnsi" w:eastAsiaTheme="majorEastAsia" w:hAnsiTheme="majorHAnsi" w:cstheme="majorBidi"/>
        <w:noProof/>
      </w:rPr>
      <w:t>3</w:t>
    </w:r>
    <w:r w:rsidR="00F45AC7">
      <w:rPr>
        <w:rFonts w:asciiTheme="majorHAnsi" w:eastAsiaTheme="majorEastAsia" w:hAnsiTheme="majorHAnsi" w:cstheme="majorBidi"/>
      </w:rPr>
      <w:fldChar w:fldCharType="end"/>
    </w:r>
  </w:p>
  <w:p w:rsidR="00665285" w:rsidRDefault="006652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88" w:rsidRDefault="00931188" w:rsidP="00CD6953">
      <w:r>
        <w:separator/>
      </w:r>
    </w:p>
  </w:footnote>
  <w:footnote w:type="continuationSeparator" w:id="0">
    <w:p w:rsidR="00931188" w:rsidRDefault="00931188" w:rsidP="00CD6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076"/>
    <w:multiLevelType w:val="multilevel"/>
    <w:tmpl w:val="524ECBE0"/>
    <w:lvl w:ilvl="0">
      <w:start w:val="1"/>
      <w:numFmt w:val="bullet"/>
      <w:lvlText w:val="o"/>
      <w:lvlJc w:val="left"/>
      <w:pPr>
        <w:ind w:left="644" w:hanging="360"/>
      </w:pPr>
      <w:rPr>
        <w:rFonts w:ascii="Courier New" w:hAnsi="Courier New" w:cs="Courier New"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b/>
        <w:sz w:val="20"/>
      </w:rPr>
    </w:lvl>
  </w:abstractNum>
  <w:abstractNum w:abstractNumId="1">
    <w:nsid w:val="05F71648"/>
    <w:multiLevelType w:val="multilevel"/>
    <w:tmpl w:val="0F908E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b/>
        <w:sz w:val="20"/>
      </w:rPr>
    </w:lvl>
  </w:abstractNum>
  <w:abstractNum w:abstractNumId="2">
    <w:nsid w:val="209B0FFF"/>
    <w:multiLevelType w:val="hybridMultilevel"/>
    <w:tmpl w:val="A0EACC10"/>
    <w:lvl w:ilvl="0" w:tplc="9F1CA6B2">
      <w:start w:val="4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4D2CB4"/>
    <w:multiLevelType w:val="hybridMultilevel"/>
    <w:tmpl w:val="707232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D2D084A"/>
    <w:multiLevelType w:val="multilevel"/>
    <w:tmpl w:val="59F462A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b/>
        <w:sz w:val="20"/>
      </w:rPr>
    </w:lvl>
  </w:abstractNum>
  <w:abstractNum w:abstractNumId="5">
    <w:nsid w:val="5A467360"/>
    <w:multiLevelType w:val="hybridMultilevel"/>
    <w:tmpl w:val="70FA8C1C"/>
    <w:lvl w:ilvl="0" w:tplc="67F0D8BE">
      <w:start w:val="2"/>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nsid w:val="5C0C7D14"/>
    <w:multiLevelType w:val="hybridMultilevel"/>
    <w:tmpl w:val="F16A0756"/>
    <w:lvl w:ilvl="0" w:tplc="5B10D3E0">
      <w:start w:val="4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EE7ADA"/>
    <w:multiLevelType w:val="hybridMultilevel"/>
    <w:tmpl w:val="D452C5B0"/>
    <w:lvl w:ilvl="0" w:tplc="FFCCBD26">
      <w:start w:val="6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DD0C6E"/>
    <w:multiLevelType w:val="hybridMultilevel"/>
    <w:tmpl w:val="B224B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52D0344"/>
    <w:multiLevelType w:val="hybridMultilevel"/>
    <w:tmpl w:val="05DC3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16476C"/>
    <w:multiLevelType w:val="hybridMultilevel"/>
    <w:tmpl w:val="73F05E80"/>
    <w:lvl w:ilvl="0" w:tplc="99A01E0E">
      <w:start w:val="4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0"/>
  </w:num>
  <w:num w:numId="6">
    <w:abstractNumId w:val="9"/>
  </w:num>
  <w:num w:numId="7">
    <w:abstractNumId w:val="8"/>
  </w:num>
  <w:num w:numId="8">
    <w:abstractNumId w:val="5"/>
  </w:num>
  <w:num w:numId="9">
    <w:abstractNumId w:val="7"/>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5F7CA9"/>
    <w:rsid w:val="00011F51"/>
    <w:rsid w:val="00054848"/>
    <w:rsid w:val="000A22AD"/>
    <w:rsid w:val="000B26B1"/>
    <w:rsid w:val="000E5BC9"/>
    <w:rsid w:val="000F6787"/>
    <w:rsid w:val="001119B4"/>
    <w:rsid w:val="00126D40"/>
    <w:rsid w:val="00143855"/>
    <w:rsid w:val="0015276B"/>
    <w:rsid w:val="001567B7"/>
    <w:rsid w:val="00162A0F"/>
    <w:rsid w:val="00171BBB"/>
    <w:rsid w:val="001767FC"/>
    <w:rsid w:val="00184DEA"/>
    <w:rsid w:val="00191E67"/>
    <w:rsid w:val="001B3BCF"/>
    <w:rsid w:val="001E1050"/>
    <w:rsid w:val="001E4477"/>
    <w:rsid w:val="001F466E"/>
    <w:rsid w:val="001F7E32"/>
    <w:rsid w:val="002200C8"/>
    <w:rsid w:val="0022242F"/>
    <w:rsid w:val="00234999"/>
    <w:rsid w:val="00243824"/>
    <w:rsid w:val="00274D8F"/>
    <w:rsid w:val="0029612D"/>
    <w:rsid w:val="002B43C1"/>
    <w:rsid w:val="002C1D53"/>
    <w:rsid w:val="002D362E"/>
    <w:rsid w:val="002E792B"/>
    <w:rsid w:val="002E7D0A"/>
    <w:rsid w:val="002F000E"/>
    <w:rsid w:val="002F2EA5"/>
    <w:rsid w:val="00337F42"/>
    <w:rsid w:val="003471F4"/>
    <w:rsid w:val="00350173"/>
    <w:rsid w:val="003725A2"/>
    <w:rsid w:val="00375293"/>
    <w:rsid w:val="00385F93"/>
    <w:rsid w:val="003C2B05"/>
    <w:rsid w:val="003D59C1"/>
    <w:rsid w:val="004109AA"/>
    <w:rsid w:val="0042050F"/>
    <w:rsid w:val="00484AE1"/>
    <w:rsid w:val="00494837"/>
    <w:rsid w:val="004A0D69"/>
    <w:rsid w:val="004C4D06"/>
    <w:rsid w:val="004E766C"/>
    <w:rsid w:val="004F3E93"/>
    <w:rsid w:val="005006F6"/>
    <w:rsid w:val="005069CC"/>
    <w:rsid w:val="00522C27"/>
    <w:rsid w:val="005329EE"/>
    <w:rsid w:val="00535236"/>
    <w:rsid w:val="005755B5"/>
    <w:rsid w:val="00594296"/>
    <w:rsid w:val="005A0695"/>
    <w:rsid w:val="005C2371"/>
    <w:rsid w:val="005D0A3C"/>
    <w:rsid w:val="005D4A49"/>
    <w:rsid w:val="005D5798"/>
    <w:rsid w:val="005F0142"/>
    <w:rsid w:val="005F7CA9"/>
    <w:rsid w:val="00602F7A"/>
    <w:rsid w:val="006309E3"/>
    <w:rsid w:val="006319E2"/>
    <w:rsid w:val="00632705"/>
    <w:rsid w:val="006440B4"/>
    <w:rsid w:val="00665285"/>
    <w:rsid w:val="00681AB3"/>
    <w:rsid w:val="006908E9"/>
    <w:rsid w:val="006A5AB6"/>
    <w:rsid w:val="006B106C"/>
    <w:rsid w:val="006B4742"/>
    <w:rsid w:val="006C58DD"/>
    <w:rsid w:val="007100A7"/>
    <w:rsid w:val="0071149F"/>
    <w:rsid w:val="00726775"/>
    <w:rsid w:val="00732D91"/>
    <w:rsid w:val="00753DE7"/>
    <w:rsid w:val="00774C33"/>
    <w:rsid w:val="0078418F"/>
    <w:rsid w:val="00794A33"/>
    <w:rsid w:val="007A304D"/>
    <w:rsid w:val="007D4A25"/>
    <w:rsid w:val="007F3E46"/>
    <w:rsid w:val="007F7944"/>
    <w:rsid w:val="00877511"/>
    <w:rsid w:val="00885188"/>
    <w:rsid w:val="0089151D"/>
    <w:rsid w:val="008D3A2A"/>
    <w:rsid w:val="008F2168"/>
    <w:rsid w:val="008F75ED"/>
    <w:rsid w:val="009062EE"/>
    <w:rsid w:val="009146EC"/>
    <w:rsid w:val="00931188"/>
    <w:rsid w:val="00932576"/>
    <w:rsid w:val="00933251"/>
    <w:rsid w:val="009440BB"/>
    <w:rsid w:val="00946C4D"/>
    <w:rsid w:val="0094726B"/>
    <w:rsid w:val="009709D4"/>
    <w:rsid w:val="00971D14"/>
    <w:rsid w:val="00982163"/>
    <w:rsid w:val="00987915"/>
    <w:rsid w:val="00995D12"/>
    <w:rsid w:val="009B006C"/>
    <w:rsid w:val="009F21BF"/>
    <w:rsid w:val="00A00B99"/>
    <w:rsid w:val="00A32921"/>
    <w:rsid w:val="00A36496"/>
    <w:rsid w:val="00A418FF"/>
    <w:rsid w:val="00A44ACA"/>
    <w:rsid w:val="00A45D73"/>
    <w:rsid w:val="00A67F41"/>
    <w:rsid w:val="00A944DE"/>
    <w:rsid w:val="00AB6282"/>
    <w:rsid w:val="00AE2D32"/>
    <w:rsid w:val="00AF2D6D"/>
    <w:rsid w:val="00B00096"/>
    <w:rsid w:val="00B0452C"/>
    <w:rsid w:val="00B13358"/>
    <w:rsid w:val="00B32C04"/>
    <w:rsid w:val="00B36315"/>
    <w:rsid w:val="00B37AC3"/>
    <w:rsid w:val="00B43403"/>
    <w:rsid w:val="00B57486"/>
    <w:rsid w:val="00B63F39"/>
    <w:rsid w:val="00B674B3"/>
    <w:rsid w:val="00BB6331"/>
    <w:rsid w:val="00BC3573"/>
    <w:rsid w:val="00BD174C"/>
    <w:rsid w:val="00BD3D0D"/>
    <w:rsid w:val="00C053C9"/>
    <w:rsid w:val="00C06444"/>
    <w:rsid w:val="00C119E8"/>
    <w:rsid w:val="00C316B0"/>
    <w:rsid w:val="00C36DE9"/>
    <w:rsid w:val="00C51302"/>
    <w:rsid w:val="00CA448C"/>
    <w:rsid w:val="00CC10AF"/>
    <w:rsid w:val="00CC58CE"/>
    <w:rsid w:val="00CC756B"/>
    <w:rsid w:val="00CD6953"/>
    <w:rsid w:val="00CD702F"/>
    <w:rsid w:val="00CF3542"/>
    <w:rsid w:val="00CF6F0E"/>
    <w:rsid w:val="00D400A2"/>
    <w:rsid w:val="00D42432"/>
    <w:rsid w:val="00D5260E"/>
    <w:rsid w:val="00D639E8"/>
    <w:rsid w:val="00D714E5"/>
    <w:rsid w:val="00DA5DCC"/>
    <w:rsid w:val="00DA76DB"/>
    <w:rsid w:val="00DB1FA3"/>
    <w:rsid w:val="00DB62E2"/>
    <w:rsid w:val="00DC4B0D"/>
    <w:rsid w:val="00DD1E5E"/>
    <w:rsid w:val="00DD265A"/>
    <w:rsid w:val="00DD5A7E"/>
    <w:rsid w:val="00DE3FF0"/>
    <w:rsid w:val="00E02E71"/>
    <w:rsid w:val="00E14A2F"/>
    <w:rsid w:val="00E671FD"/>
    <w:rsid w:val="00E715C1"/>
    <w:rsid w:val="00E826F6"/>
    <w:rsid w:val="00E92DA8"/>
    <w:rsid w:val="00EC4602"/>
    <w:rsid w:val="00EF1614"/>
    <w:rsid w:val="00EF538A"/>
    <w:rsid w:val="00F1527A"/>
    <w:rsid w:val="00F21473"/>
    <w:rsid w:val="00F35DFC"/>
    <w:rsid w:val="00F41750"/>
    <w:rsid w:val="00F45AC7"/>
    <w:rsid w:val="00FD0704"/>
    <w:rsid w:val="00FD1C8A"/>
    <w:rsid w:val="00FE1D42"/>
    <w:rsid w:val="00FE76CC"/>
    <w:rsid w:val="00FF2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E3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5F7CA9"/>
    <w:pPr>
      <w:keepNext/>
      <w:keepLines/>
      <w:spacing w:before="240" w:line="256" w:lineRule="auto"/>
      <w:outlineLvl w:val="0"/>
    </w:pPr>
    <w:rPr>
      <w:rFonts w:asciiTheme="majorHAnsi" w:eastAsiaTheme="majorEastAsia" w:hAnsiTheme="majorHAnsi" w:cstheme="majorBidi"/>
      <w:b/>
      <w:color w:val="000000" w:themeColor="text1"/>
      <w:sz w:val="32"/>
      <w:szCs w:val="32"/>
      <w:lang w:eastAsia="en-US"/>
    </w:rPr>
  </w:style>
  <w:style w:type="paragraph" w:styleId="Titolo2">
    <w:name w:val="heading 2"/>
    <w:basedOn w:val="Normale"/>
    <w:next w:val="Normale"/>
    <w:link w:val="Titolo2Carattere"/>
    <w:uiPriority w:val="9"/>
    <w:semiHidden/>
    <w:unhideWhenUsed/>
    <w:qFormat/>
    <w:rsid w:val="005F7CA9"/>
    <w:pPr>
      <w:keepNext/>
      <w:keepLines/>
      <w:spacing w:before="40" w:line="256" w:lineRule="auto"/>
      <w:outlineLvl w:val="1"/>
    </w:pPr>
    <w:rPr>
      <w:rFonts w:asciiTheme="majorHAnsi" w:eastAsiaTheme="majorEastAsia" w:hAnsiTheme="majorHAnsi" w:cstheme="majorBidi"/>
      <w:b/>
      <w:color w:val="000000" w:themeColor="tex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7CA9"/>
    <w:rPr>
      <w:rFonts w:asciiTheme="majorHAnsi" w:eastAsiaTheme="majorEastAsia" w:hAnsiTheme="majorHAnsi" w:cstheme="majorBidi"/>
      <w:b/>
      <w:color w:val="000000" w:themeColor="text1"/>
      <w:sz w:val="32"/>
      <w:szCs w:val="32"/>
    </w:rPr>
  </w:style>
  <w:style w:type="character" w:customStyle="1" w:styleId="Titolo2Carattere">
    <w:name w:val="Titolo 2 Carattere"/>
    <w:basedOn w:val="Carpredefinitoparagrafo"/>
    <w:link w:val="Titolo2"/>
    <w:uiPriority w:val="9"/>
    <w:semiHidden/>
    <w:rsid w:val="005F7CA9"/>
    <w:rPr>
      <w:rFonts w:asciiTheme="majorHAnsi" w:eastAsiaTheme="majorEastAsia" w:hAnsiTheme="majorHAnsi" w:cstheme="majorBidi"/>
      <w:b/>
      <w:color w:val="000000" w:themeColor="text1"/>
      <w:sz w:val="26"/>
      <w:szCs w:val="26"/>
    </w:rPr>
  </w:style>
  <w:style w:type="character" w:styleId="Collegamentoipertestuale">
    <w:name w:val="Hyperlink"/>
    <w:basedOn w:val="Carpredefinitoparagrafo"/>
    <w:uiPriority w:val="99"/>
    <w:semiHidden/>
    <w:unhideWhenUsed/>
    <w:rsid w:val="005F7CA9"/>
    <w:rPr>
      <w:color w:val="0563C1" w:themeColor="hyperlink"/>
      <w:u w:val="single"/>
    </w:rPr>
  </w:style>
  <w:style w:type="paragraph" w:customStyle="1" w:styleId="msonormal0">
    <w:name w:val="msonormal"/>
    <w:basedOn w:val="Normale"/>
    <w:rsid w:val="005F7CA9"/>
    <w:pPr>
      <w:spacing w:before="100" w:beforeAutospacing="1" w:after="100" w:afterAutospacing="1"/>
    </w:pPr>
  </w:style>
  <w:style w:type="paragraph" w:styleId="Sommario1">
    <w:name w:val="toc 1"/>
    <w:basedOn w:val="Normale"/>
    <w:next w:val="Normale"/>
    <w:autoRedefine/>
    <w:uiPriority w:val="39"/>
    <w:semiHidden/>
    <w:unhideWhenUsed/>
    <w:rsid w:val="005F7CA9"/>
    <w:pPr>
      <w:spacing w:after="100" w:line="256" w:lineRule="auto"/>
    </w:pPr>
    <w:rPr>
      <w:rFonts w:asciiTheme="minorHAnsi" w:eastAsiaTheme="minorHAnsi" w:hAnsiTheme="minorHAnsi" w:cstheme="minorBidi"/>
      <w:sz w:val="22"/>
      <w:szCs w:val="22"/>
      <w:lang w:eastAsia="en-US"/>
    </w:rPr>
  </w:style>
  <w:style w:type="paragraph" w:styleId="Testocommento">
    <w:name w:val="annotation text"/>
    <w:basedOn w:val="Normale"/>
    <w:link w:val="TestocommentoCarattere"/>
    <w:uiPriority w:val="99"/>
    <w:semiHidden/>
    <w:unhideWhenUsed/>
    <w:rsid w:val="005F7CA9"/>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5F7CA9"/>
    <w:rPr>
      <w:sz w:val="20"/>
      <w:szCs w:val="20"/>
    </w:rPr>
  </w:style>
  <w:style w:type="character" w:customStyle="1" w:styleId="IntestazioneCarattere">
    <w:name w:val="Intestazione Carattere"/>
    <w:basedOn w:val="Carpredefinitoparagrafo"/>
    <w:link w:val="Intestazione"/>
    <w:uiPriority w:val="99"/>
    <w:rsid w:val="005F7CA9"/>
  </w:style>
  <w:style w:type="paragraph" w:styleId="Intestazione">
    <w:name w:val="header"/>
    <w:basedOn w:val="Normale"/>
    <w:link w:val="IntestazioneCarattere"/>
    <w:uiPriority w:val="99"/>
    <w:unhideWhenUsed/>
    <w:rsid w:val="005F7CA9"/>
    <w:pPr>
      <w:tabs>
        <w:tab w:val="center" w:pos="4819"/>
        <w:tab w:val="right" w:pos="9638"/>
      </w:tabs>
    </w:pPr>
  </w:style>
  <w:style w:type="character" w:customStyle="1" w:styleId="PidipaginaCarattere">
    <w:name w:val="Piè di pagina Carattere"/>
    <w:basedOn w:val="Carpredefinitoparagrafo"/>
    <w:link w:val="Pidipagina"/>
    <w:uiPriority w:val="99"/>
    <w:rsid w:val="005F7CA9"/>
  </w:style>
  <w:style w:type="paragraph" w:styleId="Pidipagina">
    <w:name w:val="footer"/>
    <w:basedOn w:val="Normale"/>
    <w:link w:val="PidipaginaCarattere"/>
    <w:uiPriority w:val="99"/>
    <w:unhideWhenUsed/>
    <w:rsid w:val="005F7CA9"/>
    <w:pPr>
      <w:tabs>
        <w:tab w:val="center" w:pos="4819"/>
        <w:tab w:val="right" w:pos="9638"/>
      </w:tabs>
    </w:pPr>
  </w:style>
  <w:style w:type="paragraph" w:styleId="Titolo">
    <w:name w:val="Title"/>
    <w:basedOn w:val="Normale"/>
    <w:link w:val="TitoloCarattere"/>
    <w:qFormat/>
    <w:rsid w:val="005F7CA9"/>
    <w:pPr>
      <w:jc w:val="center"/>
    </w:pPr>
    <w:rPr>
      <w:sz w:val="52"/>
      <w:szCs w:val="20"/>
    </w:rPr>
  </w:style>
  <w:style w:type="character" w:customStyle="1" w:styleId="TitoloCarattere">
    <w:name w:val="Titolo Carattere"/>
    <w:basedOn w:val="Carpredefinitoparagrafo"/>
    <w:link w:val="Titolo"/>
    <w:rsid w:val="005F7CA9"/>
    <w:rPr>
      <w:rFonts w:ascii="Times New Roman" w:eastAsia="Times New Roman" w:hAnsi="Times New Roman" w:cs="Times New Roman"/>
      <w:sz w:val="52"/>
      <w:szCs w:val="20"/>
      <w:lang w:eastAsia="it-IT"/>
    </w:rPr>
  </w:style>
  <w:style w:type="paragraph" w:styleId="Corpodeltesto">
    <w:name w:val="Body Text"/>
    <w:basedOn w:val="Normale"/>
    <w:link w:val="CorpodeltestoCarattere"/>
    <w:semiHidden/>
    <w:unhideWhenUsed/>
    <w:rsid w:val="005F7CA9"/>
    <w:pPr>
      <w:jc w:val="both"/>
    </w:pPr>
    <w:rPr>
      <w:rFonts w:ascii="Verdana" w:hAnsi="Verdana"/>
      <w:i/>
      <w:iCs/>
      <w:sz w:val="22"/>
    </w:rPr>
  </w:style>
  <w:style w:type="character" w:customStyle="1" w:styleId="CorpodeltestoCarattere">
    <w:name w:val="Corpo del testo Carattere"/>
    <w:basedOn w:val="Carpredefinitoparagrafo"/>
    <w:link w:val="Corpodeltesto"/>
    <w:semiHidden/>
    <w:rsid w:val="005F7CA9"/>
    <w:rPr>
      <w:rFonts w:ascii="Verdana" w:eastAsia="Times New Roman" w:hAnsi="Verdana" w:cs="Times New Roman"/>
      <w:i/>
      <w:iCs/>
      <w:szCs w:val="24"/>
      <w:lang w:eastAsia="it-IT"/>
    </w:rPr>
  </w:style>
  <w:style w:type="character" w:customStyle="1" w:styleId="Rientrocorpodeltesto2Carattere">
    <w:name w:val="Rientro corpo del testo 2 Carattere"/>
    <w:basedOn w:val="Carpredefinitoparagrafo"/>
    <w:link w:val="Rientrocorpodeltesto2"/>
    <w:semiHidden/>
    <w:rsid w:val="005F7CA9"/>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unhideWhenUsed/>
    <w:rsid w:val="005F7CA9"/>
    <w:pPr>
      <w:ind w:firstLine="708"/>
    </w:pPr>
    <w:rPr>
      <w:szCs w:val="20"/>
    </w:rPr>
  </w:style>
  <w:style w:type="character" w:customStyle="1" w:styleId="SoggettocommentoCarattere">
    <w:name w:val="Soggetto commento Carattere"/>
    <w:basedOn w:val="TestocommentoCarattere"/>
    <w:link w:val="Soggettocommento"/>
    <w:uiPriority w:val="99"/>
    <w:semiHidden/>
    <w:rsid w:val="005F7CA9"/>
    <w:rPr>
      <w:b/>
      <w:bCs/>
      <w:sz w:val="20"/>
      <w:szCs w:val="20"/>
    </w:rPr>
  </w:style>
  <w:style w:type="paragraph" w:styleId="Soggettocommento">
    <w:name w:val="annotation subject"/>
    <w:basedOn w:val="Testocommento"/>
    <w:next w:val="Testocommento"/>
    <w:link w:val="SoggettocommentoCarattere"/>
    <w:uiPriority w:val="99"/>
    <w:semiHidden/>
    <w:unhideWhenUsed/>
    <w:rsid w:val="005F7CA9"/>
    <w:rPr>
      <w:b/>
      <w:bCs/>
    </w:rPr>
  </w:style>
  <w:style w:type="character" w:customStyle="1" w:styleId="TestofumettoCarattere">
    <w:name w:val="Testo fumetto Carattere"/>
    <w:basedOn w:val="Carpredefinitoparagrafo"/>
    <w:link w:val="Testofumetto"/>
    <w:uiPriority w:val="99"/>
    <w:semiHidden/>
    <w:rsid w:val="005F7CA9"/>
    <w:rPr>
      <w:rFonts w:ascii="Segoe UI" w:hAnsi="Segoe UI" w:cs="Segoe UI"/>
      <w:sz w:val="18"/>
      <w:szCs w:val="18"/>
    </w:rPr>
  </w:style>
  <w:style w:type="paragraph" w:styleId="Testofumetto">
    <w:name w:val="Balloon Text"/>
    <w:basedOn w:val="Normale"/>
    <w:link w:val="TestofumettoCarattere"/>
    <w:uiPriority w:val="99"/>
    <w:semiHidden/>
    <w:unhideWhenUsed/>
    <w:rsid w:val="005F7CA9"/>
    <w:rPr>
      <w:rFonts w:ascii="Segoe UI" w:hAnsi="Segoe UI" w:cs="Segoe UI"/>
      <w:sz w:val="18"/>
      <w:szCs w:val="18"/>
    </w:rPr>
  </w:style>
  <w:style w:type="paragraph" w:styleId="Paragrafoelenco">
    <w:name w:val="List Paragraph"/>
    <w:basedOn w:val="Normale"/>
    <w:uiPriority w:val="34"/>
    <w:qFormat/>
    <w:rsid w:val="005F7CA9"/>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5F7CA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Carpredefinitoparagrafo"/>
    <w:rsid w:val="005F7CA9"/>
  </w:style>
  <w:style w:type="table" w:styleId="Grigliatabella">
    <w:name w:val="Table Grid"/>
    <w:basedOn w:val="Tabellanormale"/>
    <w:uiPriority w:val="39"/>
    <w:rsid w:val="005F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CA448C"/>
    <w:pPr>
      <w:spacing w:before="100" w:beforeAutospacing="1" w:after="100" w:afterAutospacing="1"/>
    </w:pPr>
  </w:style>
  <w:style w:type="table" w:customStyle="1" w:styleId="Tabellaelenco3-colore11">
    <w:name w:val="Tabella elenco 3 - colore 11"/>
    <w:basedOn w:val="Tabellanormale"/>
    <w:uiPriority w:val="48"/>
    <w:rsid w:val="00162A0F"/>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E3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5F7CA9"/>
    <w:pPr>
      <w:keepNext/>
      <w:keepLines/>
      <w:spacing w:before="240" w:line="256" w:lineRule="auto"/>
      <w:outlineLvl w:val="0"/>
    </w:pPr>
    <w:rPr>
      <w:rFonts w:asciiTheme="majorHAnsi" w:eastAsiaTheme="majorEastAsia" w:hAnsiTheme="majorHAnsi" w:cstheme="majorBidi"/>
      <w:b/>
      <w:color w:val="000000" w:themeColor="text1"/>
      <w:sz w:val="32"/>
      <w:szCs w:val="32"/>
      <w:lang w:eastAsia="en-US"/>
    </w:rPr>
  </w:style>
  <w:style w:type="paragraph" w:styleId="Titolo2">
    <w:name w:val="heading 2"/>
    <w:basedOn w:val="Normale"/>
    <w:next w:val="Normale"/>
    <w:link w:val="Titolo2Carattere"/>
    <w:uiPriority w:val="9"/>
    <w:semiHidden/>
    <w:unhideWhenUsed/>
    <w:qFormat/>
    <w:rsid w:val="005F7CA9"/>
    <w:pPr>
      <w:keepNext/>
      <w:keepLines/>
      <w:spacing w:before="40" w:line="256" w:lineRule="auto"/>
      <w:outlineLvl w:val="1"/>
    </w:pPr>
    <w:rPr>
      <w:rFonts w:asciiTheme="majorHAnsi" w:eastAsiaTheme="majorEastAsia" w:hAnsiTheme="majorHAnsi" w:cstheme="majorBidi"/>
      <w:b/>
      <w:color w:val="000000" w:themeColor="tex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7CA9"/>
    <w:rPr>
      <w:rFonts w:asciiTheme="majorHAnsi" w:eastAsiaTheme="majorEastAsia" w:hAnsiTheme="majorHAnsi" w:cstheme="majorBidi"/>
      <w:b/>
      <w:color w:val="000000" w:themeColor="text1"/>
      <w:sz w:val="32"/>
      <w:szCs w:val="32"/>
    </w:rPr>
  </w:style>
  <w:style w:type="character" w:customStyle="1" w:styleId="Titolo2Carattere">
    <w:name w:val="Titolo 2 Carattere"/>
    <w:basedOn w:val="Carpredefinitoparagrafo"/>
    <w:link w:val="Titolo2"/>
    <w:uiPriority w:val="9"/>
    <w:semiHidden/>
    <w:rsid w:val="005F7CA9"/>
    <w:rPr>
      <w:rFonts w:asciiTheme="majorHAnsi" w:eastAsiaTheme="majorEastAsia" w:hAnsiTheme="majorHAnsi" w:cstheme="majorBidi"/>
      <w:b/>
      <w:color w:val="000000" w:themeColor="text1"/>
      <w:sz w:val="26"/>
      <w:szCs w:val="26"/>
    </w:rPr>
  </w:style>
  <w:style w:type="character" w:styleId="Collegamentoipertestuale">
    <w:name w:val="Hyperlink"/>
    <w:basedOn w:val="Carpredefinitoparagrafo"/>
    <w:uiPriority w:val="99"/>
    <w:semiHidden/>
    <w:unhideWhenUsed/>
    <w:rsid w:val="005F7CA9"/>
    <w:rPr>
      <w:color w:val="0563C1" w:themeColor="hyperlink"/>
      <w:u w:val="single"/>
    </w:rPr>
  </w:style>
  <w:style w:type="paragraph" w:customStyle="1" w:styleId="msonormal0">
    <w:name w:val="msonormal"/>
    <w:basedOn w:val="Normale"/>
    <w:rsid w:val="005F7CA9"/>
    <w:pPr>
      <w:spacing w:before="100" w:beforeAutospacing="1" w:after="100" w:afterAutospacing="1"/>
    </w:pPr>
  </w:style>
  <w:style w:type="paragraph" w:styleId="Sommario1">
    <w:name w:val="toc 1"/>
    <w:basedOn w:val="Normale"/>
    <w:next w:val="Normale"/>
    <w:autoRedefine/>
    <w:uiPriority w:val="39"/>
    <w:semiHidden/>
    <w:unhideWhenUsed/>
    <w:rsid w:val="005F7CA9"/>
    <w:pPr>
      <w:spacing w:after="100" w:line="256" w:lineRule="auto"/>
    </w:pPr>
    <w:rPr>
      <w:rFonts w:asciiTheme="minorHAnsi" w:eastAsiaTheme="minorHAnsi" w:hAnsiTheme="minorHAnsi" w:cstheme="minorBidi"/>
      <w:sz w:val="22"/>
      <w:szCs w:val="22"/>
      <w:lang w:eastAsia="en-US"/>
    </w:rPr>
  </w:style>
  <w:style w:type="paragraph" w:styleId="Testocommento">
    <w:name w:val="annotation text"/>
    <w:basedOn w:val="Normale"/>
    <w:link w:val="TestocommentoCarattere"/>
    <w:uiPriority w:val="99"/>
    <w:semiHidden/>
    <w:unhideWhenUsed/>
    <w:rsid w:val="005F7CA9"/>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5F7CA9"/>
    <w:rPr>
      <w:sz w:val="20"/>
      <w:szCs w:val="20"/>
    </w:rPr>
  </w:style>
  <w:style w:type="character" w:customStyle="1" w:styleId="IntestazioneCarattere">
    <w:name w:val="Intestazione Carattere"/>
    <w:basedOn w:val="Carpredefinitoparagrafo"/>
    <w:link w:val="Intestazione"/>
    <w:uiPriority w:val="99"/>
    <w:rsid w:val="005F7CA9"/>
  </w:style>
  <w:style w:type="paragraph" w:styleId="Intestazione">
    <w:name w:val="header"/>
    <w:basedOn w:val="Normale"/>
    <w:link w:val="IntestazioneCarattere"/>
    <w:uiPriority w:val="99"/>
    <w:unhideWhenUsed/>
    <w:rsid w:val="005F7CA9"/>
    <w:pPr>
      <w:tabs>
        <w:tab w:val="center" w:pos="4819"/>
        <w:tab w:val="right" w:pos="9638"/>
      </w:tabs>
    </w:pPr>
  </w:style>
  <w:style w:type="character" w:customStyle="1" w:styleId="PidipaginaCarattere">
    <w:name w:val="Piè di pagina Carattere"/>
    <w:basedOn w:val="Carpredefinitoparagrafo"/>
    <w:link w:val="Pidipagina"/>
    <w:uiPriority w:val="99"/>
    <w:rsid w:val="005F7CA9"/>
  </w:style>
  <w:style w:type="paragraph" w:styleId="Pidipagina">
    <w:name w:val="footer"/>
    <w:basedOn w:val="Normale"/>
    <w:link w:val="PidipaginaCarattere"/>
    <w:uiPriority w:val="99"/>
    <w:unhideWhenUsed/>
    <w:rsid w:val="005F7CA9"/>
    <w:pPr>
      <w:tabs>
        <w:tab w:val="center" w:pos="4819"/>
        <w:tab w:val="right" w:pos="9638"/>
      </w:tabs>
    </w:pPr>
  </w:style>
  <w:style w:type="paragraph" w:styleId="Titolo">
    <w:name w:val="Title"/>
    <w:basedOn w:val="Normale"/>
    <w:link w:val="TitoloCarattere"/>
    <w:qFormat/>
    <w:rsid w:val="005F7CA9"/>
    <w:pPr>
      <w:jc w:val="center"/>
    </w:pPr>
    <w:rPr>
      <w:sz w:val="52"/>
      <w:szCs w:val="20"/>
    </w:rPr>
  </w:style>
  <w:style w:type="character" w:customStyle="1" w:styleId="TitoloCarattere">
    <w:name w:val="Titolo Carattere"/>
    <w:basedOn w:val="Carpredefinitoparagrafo"/>
    <w:link w:val="Titolo"/>
    <w:rsid w:val="005F7CA9"/>
    <w:rPr>
      <w:rFonts w:ascii="Times New Roman" w:eastAsia="Times New Roman" w:hAnsi="Times New Roman" w:cs="Times New Roman"/>
      <w:sz w:val="52"/>
      <w:szCs w:val="20"/>
      <w:lang w:eastAsia="it-IT"/>
    </w:rPr>
  </w:style>
  <w:style w:type="paragraph" w:styleId="Corpotesto">
    <w:name w:val="Body Text"/>
    <w:basedOn w:val="Normale"/>
    <w:link w:val="CorpotestoCarattere"/>
    <w:semiHidden/>
    <w:unhideWhenUsed/>
    <w:rsid w:val="005F7CA9"/>
    <w:pPr>
      <w:jc w:val="both"/>
    </w:pPr>
    <w:rPr>
      <w:rFonts w:ascii="Verdana" w:hAnsi="Verdana"/>
      <w:i/>
      <w:iCs/>
      <w:sz w:val="22"/>
    </w:rPr>
  </w:style>
  <w:style w:type="character" w:customStyle="1" w:styleId="CorpotestoCarattere">
    <w:name w:val="Corpo testo Carattere"/>
    <w:basedOn w:val="Carpredefinitoparagrafo"/>
    <w:link w:val="Corpotesto"/>
    <w:semiHidden/>
    <w:rsid w:val="005F7CA9"/>
    <w:rPr>
      <w:rFonts w:ascii="Verdana" w:eastAsia="Times New Roman" w:hAnsi="Verdana" w:cs="Times New Roman"/>
      <w:i/>
      <w:iCs/>
      <w:szCs w:val="24"/>
      <w:lang w:eastAsia="it-IT"/>
    </w:rPr>
  </w:style>
  <w:style w:type="character" w:customStyle="1" w:styleId="Rientrocorpodeltesto2Carattere">
    <w:name w:val="Rientro corpo del testo 2 Carattere"/>
    <w:basedOn w:val="Carpredefinitoparagrafo"/>
    <w:link w:val="Rientrocorpodeltesto2"/>
    <w:semiHidden/>
    <w:rsid w:val="005F7CA9"/>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unhideWhenUsed/>
    <w:rsid w:val="005F7CA9"/>
    <w:pPr>
      <w:ind w:firstLine="708"/>
    </w:pPr>
    <w:rPr>
      <w:szCs w:val="20"/>
    </w:rPr>
  </w:style>
  <w:style w:type="character" w:customStyle="1" w:styleId="SoggettocommentoCarattere">
    <w:name w:val="Soggetto commento Carattere"/>
    <w:basedOn w:val="TestocommentoCarattere"/>
    <w:link w:val="Soggettocommento"/>
    <w:uiPriority w:val="99"/>
    <w:semiHidden/>
    <w:rsid w:val="005F7CA9"/>
    <w:rPr>
      <w:b/>
      <w:bCs/>
      <w:sz w:val="20"/>
      <w:szCs w:val="20"/>
    </w:rPr>
  </w:style>
  <w:style w:type="paragraph" w:styleId="Soggettocommento">
    <w:name w:val="annotation subject"/>
    <w:basedOn w:val="Testocommento"/>
    <w:next w:val="Testocommento"/>
    <w:link w:val="SoggettocommentoCarattere"/>
    <w:uiPriority w:val="99"/>
    <w:semiHidden/>
    <w:unhideWhenUsed/>
    <w:rsid w:val="005F7CA9"/>
    <w:rPr>
      <w:b/>
      <w:bCs/>
    </w:rPr>
  </w:style>
  <w:style w:type="character" w:customStyle="1" w:styleId="TestofumettoCarattere">
    <w:name w:val="Testo fumetto Carattere"/>
    <w:basedOn w:val="Carpredefinitoparagrafo"/>
    <w:link w:val="Testofumetto"/>
    <w:uiPriority w:val="99"/>
    <w:semiHidden/>
    <w:rsid w:val="005F7CA9"/>
    <w:rPr>
      <w:rFonts w:ascii="Segoe UI" w:hAnsi="Segoe UI" w:cs="Segoe UI"/>
      <w:sz w:val="18"/>
      <w:szCs w:val="18"/>
    </w:rPr>
  </w:style>
  <w:style w:type="paragraph" w:styleId="Testofumetto">
    <w:name w:val="Balloon Text"/>
    <w:basedOn w:val="Normale"/>
    <w:link w:val="TestofumettoCarattere"/>
    <w:uiPriority w:val="99"/>
    <w:semiHidden/>
    <w:unhideWhenUsed/>
    <w:rsid w:val="005F7CA9"/>
    <w:rPr>
      <w:rFonts w:ascii="Segoe UI" w:hAnsi="Segoe UI" w:cs="Segoe UI"/>
      <w:sz w:val="18"/>
      <w:szCs w:val="18"/>
    </w:rPr>
  </w:style>
  <w:style w:type="paragraph" w:styleId="Paragrafoelenco">
    <w:name w:val="List Paragraph"/>
    <w:basedOn w:val="Normale"/>
    <w:uiPriority w:val="34"/>
    <w:qFormat/>
    <w:rsid w:val="005F7CA9"/>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qFormat/>
    <w:rsid w:val="005F7CA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Carpredefinitoparagrafo"/>
    <w:rsid w:val="005F7CA9"/>
  </w:style>
  <w:style w:type="table" w:styleId="Grigliatabella">
    <w:name w:val="Table Grid"/>
    <w:basedOn w:val="Tabellanormale"/>
    <w:uiPriority w:val="39"/>
    <w:rsid w:val="005F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A448C"/>
    <w:pPr>
      <w:spacing w:before="100" w:beforeAutospacing="1" w:after="100" w:afterAutospacing="1"/>
    </w:pPr>
  </w:style>
  <w:style w:type="table" w:customStyle="1" w:styleId="Tabellaelenco3-colore11">
    <w:name w:val="Tabella elenco 3 - colore 11"/>
    <w:basedOn w:val="Tabellanormale"/>
    <w:uiPriority w:val="48"/>
    <w:rsid w:val="00162A0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r="http://schemas.openxmlformats.org/officeDocument/2006/relationships" xmlns:w="http://schemas.openxmlformats.org/wordprocessingml/2006/main">
  <w:divs>
    <w:div w:id="18900663">
      <w:bodyDiv w:val="1"/>
      <w:marLeft w:val="0"/>
      <w:marRight w:val="0"/>
      <w:marTop w:val="0"/>
      <w:marBottom w:val="0"/>
      <w:divBdr>
        <w:top w:val="none" w:sz="0" w:space="0" w:color="auto"/>
        <w:left w:val="none" w:sz="0" w:space="0" w:color="auto"/>
        <w:bottom w:val="none" w:sz="0" w:space="0" w:color="auto"/>
        <w:right w:val="none" w:sz="0" w:space="0" w:color="auto"/>
      </w:divBdr>
    </w:div>
    <w:div w:id="21790406">
      <w:bodyDiv w:val="1"/>
      <w:marLeft w:val="0"/>
      <w:marRight w:val="0"/>
      <w:marTop w:val="0"/>
      <w:marBottom w:val="0"/>
      <w:divBdr>
        <w:top w:val="none" w:sz="0" w:space="0" w:color="auto"/>
        <w:left w:val="none" w:sz="0" w:space="0" w:color="auto"/>
        <w:bottom w:val="none" w:sz="0" w:space="0" w:color="auto"/>
        <w:right w:val="none" w:sz="0" w:space="0" w:color="auto"/>
      </w:divBdr>
    </w:div>
    <w:div w:id="41365255">
      <w:bodyDiv w:val="1"/>
      <w:marLeft w:val="0"/>
      <w:marRight w:val="0"/>
      <w:marTop w:val="0"/>
      <w:marBottom w:val="0"/>
      <w:divBdr>
        <w:top w:val="none" w:sz="0" w:space="0" w:color="auto"/>
        <w:left w:val="none" w:sz="0" w:space="0" w:color="auto"/>
        <w:bottom w:val="none" w:sz="0" w:space="0" w:color="auto"/>
        <w:right w:val="none" w:sz="0" w:space="0" w:color="auto"/>
      </w:divBdr>
    </w:div>
    <w:div w:id="86579421">
      <w:bodyDiv w:val="1"/>
      <w:marLeft w:val="0"/>
      <w:marRight w:val="0"/>
      <w:marTop w:val="0"/>
      <w:marBottom w:val="0"/>
      <w:divBdr>
        <w:top w:val="none" w:sz="0" w:space="0" w:color="auto"/>
        <w:left w:val="none" w:sz="0" w:space="0" w:color="auto"/>
        <w:bottom w:val="none" w:sz="0" w:space="0" w:color="auto"/>
        <w:right w:val="none" w:sz="0" w:space="0" w:color="auto"/>
      </w:divBdr>
    </w:div>
    <w:div w:id="108360556">
      <w:bodyDiv w:val="1"/>
      <w:marLeft w:val="0"/>
      <w:marRight w:val="0"/>
      <w:marTop w:val="0"/>
      <w:marBottom w:val="0"/>
      <w:divBdr>
        <w:top w:val="none" w:sz="0" w:space="0" w:color="auto"/>
        <w:left w:val="none" w:sz="0" w:space="0" w:color="auto"/>
        <w:bottom w:val="none" w:sz="0" w:space="0" w:color="auto"/>
        <w:right w:val="none" w:sz="0" w:space="0" w:color="auto"/>
      </w:divBdr>
    </w:div>
    <w:div w:id="181093062">
      <w:bodyDiv w:val="1"/>
      <w:marLeft w:val="0"/>
      <w:marRight w:val="0"/>
      <w:marTop w:val="0"/>
      <w:marBottom w:val="0"/>
      <w:divBdr>
        <w:top w:val="none" w:sz="0" w:space="0" w:color="auto"/>
        <w:left w:val="none" w:sz="0" w:space="0" w:color="auto"/>
        <w:bottom w:val="none" w:sz="0" w:space="0" w:color="auto"/>
        <w:right w:val="none" w:sz="0" w:space="0" w:color="auto"/>
      </w:divBdr>
    </w:div>
    <w:div w:id="192114920">
      <w:bodyDiv w:val="1"/>
      <w:marLeft w:val="0"/>
      <w:marRight w:val="0"/>
      <w:marTop w:val="0"/>
      <w:marBottom w:val="0"/>
      <w:divBdr>
        <w:top w:val="none" w:sz="0" w:space="0" w:color="auto"/>
        <w:left w:val="none" w:sz="0" w:space="0" w:color="auto"/>
        <w:bottom w:val="none" w:sz="0" w:space="0" w:color="auto"/>
        <w:right w:val="none" w:sz="0" w:space="0" w:color="auto"/>
      </w:divBdr>
    </w:div>
    <w:div w:id="200869590">
      <w:bodyDiv w:val="1"/>
      <w:marLeft w:val="0"/>
      <w:marRight w:val="0"/>
      <w:marTop w:val="0"/>
      <w:marBottom w:val="0"/>
      <w:divBdr>
        <w:top w:val="none" w:sz="0" w:space="0" w:color="auto"/>
        <w:left w:val="none" w:sz="0" w:space="0" w:color="auto"/>
        <w:bottom w:val="none" w:sz="0" w:space="0" w:color="auto"/>
        <w:right w:val="none" w:sz="0" w:space="0" w:color="auto"/>
      </w:divBdr>
    </w:div>
    <w:div w:id="221404167">
      <w:bodyDiv w:val="1"/>
      <w:marLeft w:val="0"/>
      <w:marRight w:val="0"/>
      <w:marTop w:val="0"/>
      <w:marBottom w:val="0"/>
      <w:divBdr>
        <w:top w:val="none" w:sz="0" w:space="0" w:color="auto"/>
        <w:left w:val="none" w:sz="0" w:space="0" w:color="auto"/>
        <w:bottom w:val="none" w:sz="0" w:space="0" w:color="auto"/>
        <w:right w:val="none" w:sz="0" w:space="0" w:color="auto"/>
      </w:divBdr>
    </w:div>
    <w:div w:id="224068950">
      <w:bodyDiv w:val="1"/>
      <w:marLeft w:val="0"/>
      <w:marRight w:val="0"/>
      <w:marTop w:val="0"/>
      <w:marBottom w:val="0"/>
      <w:divBdr>
        <w:top w:val="none" w:sz="0" w:space="0" w:color="auto"/>
        <w:left w:val="none" w:sz="0" w:space="0" w:color="auto"/>
        <w:bottom w:val="none" w:sz="0" w:space="0" w:color="auto"/>
        <w:right w:val="none" w:sz="0" w:space="0" w:color="auto"/>
      </w:divBdr>
    </w:div>
    <w:div w:id="243347428">
      <w:bodyDiv w:val="1"/>
      <w:marLeft w:val="0"/>
      <w:marRight w:val="0"/>
      <w:marTop w:val="0"/>
      <w:marBottom w:val="0"/>
      <w:divBdr>
        <w:top w:val="none" w:sz="0" w:space="0" w:color="auto"/>
        <w:left w:val="none" w:sz="0" w:space="0" w:color="auto"/>
        <w:bottom w:val="none" w:sz="0" w:space="0" w:color="auto"/>
        <w:right w:val="none" w:sz="0" w:space="0" w:color="auto"/>
      </w:divBdr>
    </w:div>
    <w:div w:id="246308773">
      <w:bodyDiv w:val="1"/>
      <w:marLeft w:val="0"/>
      <w:marRight w:val="0"/>
      <w:marTop w:val="0"/>
      <w:marBottom w:val="0"/>
      <w:divBdr>
        <w:top w:val="none" w:sz="0" w:space="0" w:color="auto"/>
        <w:left w:val="none" w:sz="0" w:space="0" w:color="auto"/>
        <w:bottom w:val="none" w:sz="0" w:space="0" w:color="auto"/>
        <w:right w:val="none" w:sz="0" w:space="0" w:color="auto"/>
      </w:divBdr>
    </w:div>
    <w:div w:id="288053230">
      <w:bodyDiv w:val="1"/>
      <w:marLeft w:val="0"/>
      <w:marRight w:val="0"/>
      <w:marTop w:val="0"/>
      <w:marBottom w:val="0"/>
      <w:divBdr>
        <w:top w:val="none" w:sz="0" w:space="0" w:color="auto"/>
        <w:left w:val="none" w:sz="0" w:space="0" w:color="auto"/>
        <w:bottom w:val="none" w:sz="0" w:space="0" w:color="auto"/>
        <w:right w:val="none" w:sz="0" w:space="0" w:color="auto"/>
      </w:divBdr>
    </w:div>
    <w:div w:id="345178869">
      <w:bodyDiv w:val="1"/>
      <w:marLeft w:val="0"/>
      <w:marRight w:val="0"/>
      <w:marTop w:val="0"/>
      <w:marBottom w:val="0"/>
      <w:divBdr>
        <w:top w:val="none" w:sz="0" w:space="0" w:color="auto"/>
        <w:left w:val="none" w:sz="0" w:space="0" w:color="auto"/>
        <w:bottom w:val="none" w:sz="0" w:space="0" w:color="auto"/>
        <w:right w:val="none" w:sz="0" w:space="0" w:color="auto"/>
      </w:divBdr>
    </w:div>
    <w:div w:id="364520710">
      <w:bodyDiv w:val="1"/>
      <w:marLeft w:val="0"/>
      <w:marRight w:val="0"/>
      <w:marTop w:val="0"/>
      <w:marBottom w:val="0"/>
      <w:divBdr>
        <w:top w:val="none" w:sz="0" w:space="0" w:color="auto"/>
        <w:left w:val="none" w:sz="0" w:space="0" w:color="auto"/>
        <w:bottom w:val="none" w:sz="0" w:space="0" w:color="auto"/>
        <w:right w:val="none" w:sz="0" w:space="0" w:color="auto"/>
      </w:divBdr>
      <w:divsChild>
        <w:div w:id="1370300288">
          <w:marLeft w:val="0"/>
          <w:marRight w:val="0"/>
          <w:marTop w:val="0"/>
          <w:marBottom w:val="0"/>
          <w:divBdr>
            <w:top w:val="none" w:sz="0" w:space="0" w:color="auto"/>
            <w:left w:val="none" w:sz="0" w:space="0" w:color="auto"/>
            <w:bottom w:val="none" w:sz="0" w:space="0" w:color="auto"/>
            <w:right w:val="none" w:sz="0" w:space="0" w:color="auto"/>
          </w:divBdr>
          <w:divsChild>
            <w:div w:id="769279163">
              <w:marLeft w:val="0"/>
              <w:marRight w:val="0"/>
              <w:marTop w:val="0"/>
              <w:marBottom w:val="0"/>
              <w:divBdr>
                <w:top w:val="none" w:sz="0" w:space="0" w:color="auto"/>
                <w:left w:val="none" w:sz="0" w:space="0" w:color="auto"/>
                <w:bottom w:val="none" w:sz="0" w:space="0" w:color="auto"/>
                <w:right w:val="none" w:sz="0" w:space="0" w:color="auto"/>
              </w:divBdr>
              <w:divsChild>
                <w:div w:id="535511303">
                  <w:marLeft w:val="0"/>
                  <w:marRight w:val="0"/>
                  <w:marTop w:val="0"/>
                  <w:marBottom w:val="0"/>
                  <w:divBdr>
                    <w:top w:val="none" w:sz="0" w:space="0" w:color="auto"/>
                    <w:left w:val="none" w:sz="0" w:space="0" w:color="auto"/>
                    <w:bottom w:val="none" w:sz="0" w:space="0" w:color="auto"/>
                    <w:right w:val="none" w:sz="0" w:space="0" w:color="auto"/>
                  </w:divBdr>
                  <w:divsChild>
                    <w:div w:id="1247616356">
                      <w:marLeft w:val="0"/>
                      <w:marRight w:val="0"/>
                      <w:marTop w:val="0"/>
                      <w:marBottom w:val="0"/>
                      <w:divBdr>
                        <w:top w:val="none" w:sz="0" w:space="0" w:color="auto"/>
                        <w:left w:val="none" w:sz="0" w:space="0" w:color="auto"/>
                        <w:bottom w:val="none" w:sz="0" w:space="0" w:color="auto"/>
                        <w:right w:val="none" w:sz="0" w:space="0" w:color="auto"/>
                      </w:divBdr>
                    </w:div>
                  </w:divsChild>
                </w:div>
                <w:div w:id="372732850">
                  <w:marLeft w:val="0"/>
                  <w:marRight w:val="0"/>
                  <w:marTop w:val="0"/>
                  <w:marBottom w:val="0"/>
                  <w:divBdr>
                    <w:top w:val="none" w:sz="0" w:space="0" w:color="auto"/>
                    <w:left w:val="none" w:sz="0" w:space="0" w:color="auto"/>
                    <w:bottom w:val="none" w:sz="0" w:space="0" w:color="auto"/>
                    <w:right w:val="none" w:sz="0" w:space="0" w:color="auto"/>
                  </w:divBdr>
                  <w:divsChild>
                    <w:div w:id="1194877132">
                      <w:marLeft w:val="0"/>
                      <w:marRight w:val="0"/>
                      <w:marTop w:val="0"/>
                      <w:marBottom w:val="0"/>
                      <w:divBdr>
                        <w:top w:val="none" w:sz="0" w:space="0" w:color="auto"/>
                        <w:left w:val="none" w:sz="0" w:space="0" w:color="auto"/>
                        <w:bottom w:val="none" w:sz="0" w:space="0" w:color="auto"/>
                        <w:right w:val="none" w:sz="0" w:space="0" w:color="auto"/>
                      </w:divBdr>
                    </w:div>
                  </w:divsChild>
                </w:div>
                <w:div w:id="918247294">
                  <w:marLeft w:val="0"/>
                  <w:marRight w:val="0"/>
                  <w:marTop w:val="0"/>
                  <w:marBottom w:val="0"/>
                  <w:divBdr>
                    <w:top w:val="none" w:sz="0" w:space="0" w:color="auto"/>
                    <w:left w:val="none" w:sz="0" w:space="0" w:color="auto"/>
                    <w:bottom w:val="none" w:sz="0" w:space="0" w:color="auto"/>
                    <w:right w:val="none" w:sz="0" w:space="0" w:color="auto"/>
                  </w:divBdr>
                  <w:divsChild>
                    <w:div w:id="707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7460">
      <w:bodyDiv w:val="1"/>
      <w:marLeft w:val="0"/>
      <w:marRight w:val="0"/>
      <w:marTop w:val="0"/>
      <w:marBottom w:val="0"/>
      <w:divBdr>
        <w:top w:val="none" w:sz="0" w:space="0" w:color="auto"/>
        <w:left w:val="none" w:sz="0" w:space="0" w:color="auto"/>
        <w:bottom w:val="none" w:sz="0" w:space="0" w:color="auto"/>
        <w:right w:val="none" w:sz="0" w:space="0" w:color="auto"/>
      </w:divBdr>
    </w:div>
    <w:div w:id="432550658">
      <w:bodyDiv w:val="1"/>
      <w:marLeft w:val="0"/>
      <w:marRight w:val="0"/>
      <w:marTop w:val="0"/>
      <w:marBottom w:val="0"/>
      <w:divBdr>
        <w:top w:val="none" w:sz="0" w:space="0" w:color="auto"/>
        <w:left w:val="none" w:sz="0" w:space="0" w:color="auto"/>
        <w:bottom w:val="none" w:sz="0" w:space="0" w:color="auto"/>
        <w:right w:val="none" w:sz="0" w:space="0" w:color="auto"/>
      </w:divBdr>
    </w:div>
    <w:div w:id="435635910">
      <w:bodyDiv w:val="1"/>
      <w:marLeft w:val="0"/>
      <w:marRight w:val="0"/>
      <w:marTop w:val="0"/>
      <w:marBottom w:val="0"/>
      <w:divBdr>
        <w:top w:val="none" w:sz="0" w:space="0" w:color="auto"/>
        <w:left w:val="none" w:sz="0" w:space="0" w:color="auto"/>
        <w:bottom w:val="none" w:sz="0" w:space="0" w:color="auto"/>
        <w:right w:val="none" w:sz="0" w:space="0" w:color="auto"/>
      </w:divBdr>
    </w:div>
    <w:div w:id="440691420">
      <w:bodyDiv w:val="1"/>
      <w:marLeft w:val="0"/>
      <w:marRight w:val="0"/>
      <w:marTop w:val="0"/>
      <w:marBottom w:val="0"/>
      <w:divBdr>
        <w:top w:val="none" w:sz="0" w:space="0" w:color="auto"/>
        <w:left w:val="none" w:sz="0" w:space="0" w:color="auto"/>
        <w:bottom w:val="none" w:sz="0" w:space="0" w:color="auto"/>
        <w:right w:val="none" w:sz="0" w:space="0" w:color="auto"/>
      </w:divBdr>
    </w:div>
    <w:div w:id="448015029">
      <w:bodyDiv w:val="1"/>
      <w:marLeft w:val="0"/>
      <w:marRight w:val="0"/>
      <w:marTop w:val="0"/>
      <w:marBottom w:val="0"/>
      <w:divBdr>
        <w:top w:val="none" w:sz="0" w:space="0" w:color="auto"/>
        <w:left w:val="none" w:sz="0" w:space="0" w:color="auto"/>
        <w:bottom w:val="none" w:sz="0" w:space="0" w:color="auto"/>
        <w:right w:val="none" w:sz="0" w:space="0" w:color="auto"/>
      </w:divBdr>
    </w:div>
    <w:div w:id="449663337">
      <w:bodyDiv w:val="1"/>
      <w:marLeft w:val="0"/>
      <w:marRight w:val="0"/>
      <w:marTop w:val="0"/>
      <w:marBottom w:val="0"/>
      <w:divBdr>
        <w:top w:val="none" w:sz="0" w:space="0" w:color="auto"/>
        <w:left w:val="none" w:sz="0" w:space="0" w:color="auto"/>
        <w:bottom w:val="none" w:sz="0" w:space="0" w:color="auto"/>
        <w:right w:val="none" w:sz="0" w:space="0" w:color="auto"/>
      </w:divBdr>
    </w:div>
    <w:div w:id="528756951">
      <w:bodyDiv w:val="1"/>
      <w:marLeft w:val="0"/>
      <w:marRight w:val="0"/>
      <w:marTop w:val="0"/>
      <w:marBottom w:val="0"/>
      <w:divBdr>
        <w:top w:val="none" w:sz="0" w:space="0" w:color="auto"/>
        <w:left w:val="none" w:sz="0" w:space="0" w:color="auto"/>
        <w:bottom w:val="none" w:sz="0" w:space="0" w:color="auto"/>
        <w:right w:val="none" w:sz="0" w:space="0" w:color="auto"/>
      </w:divBdr>
    </w:div>
    <w:div w:id="531580596">
      <w:bodyDiv w:val="1"/>
      <w:marLeft w:val="0"/>
      <w:marRight w:val="0"/>
      <w:marTop w:val="0"/>
      <w:marBottom w:val="0"/>
      <w:divBdr>
        <w:top w:val="none" w:sz="0" w:space="0" w:color="auto"/>
        <w:left w:val="none" w:sz="0" w:space="0" w:color="auto"/>
        <w:bottom w:val="none" w:sz="0" w:space="0" w:color="auto"/>
        <w:right w:val="none" w:sz="0" w:space="0" w:color="auto"/>
      </w:divBdr>
    </w:div>
    <w:div w:id="533886326">
      <w:bodyDiv w:val="1"/>
      <w:marLeft w:val="0"/>
      <w:marRight w:val="0"/>
      <w:marTop w:val="0"/>
      <w:marBottom w:val="0"/>
      <w:divBdr>
        <w:top w:val="none" w:sz="0" w:space="0" w:color="auto"/>
        <w:left w:val="none" w:sz="0" w:space="0" w:color="auto"/>
        <w:bottom w:val="none" w:sz="0" w:space="0" w:color="auto"/>
        <w:right w:val="none" w:sz="0" w:space="0" w:color="auto"/>
      </w:divBdr>
    </w:div>
    <w:div w:id="548345758">
      <w:bodyDiv w:val="1"/>
      <w:marLeft w:val="0"/>
      <w:marRight w:val="0"/>
      <w:marTop w:val="0"/>
      <w:marBottom w:val="0"/>
      <w:divBdr>
        <w:top w:val="none" w:sz="0" w:space="0" w:color="auto"/>
        <w:left w:val="none" w:sz="0" w:space="0" w:color="auto"/>
        <w:bottom w:val="none" w:sz="0" w:space="0" w:color="auto"/>
        <w:right w:val="none" w:sz="0" w:space="0" w:color="auto"/>
      </w:divBdr>
    </w:div>
    <w:div w:id="613825923">
      <w:bodyDiv w:val="1"/>
      <w:marLeft w:val="0"/>
      <w:marRight w:val="0"/>
      <w:marTop w:val="0"/>
      <w:marBottom w:val="0"/>
      <w:divBdr>
        <w:top w:val="none" w:sz="0" w:space="0" w:color="auto"/>
        <w:left w:val="none" w:sz="0" w:space="0" w:color="auto"/>
        <w:bottom w:val="none" w:sz="0" w:space="0" w:color="auto"/>
        <w:right w:val="none" w:sz="0" w:space="0" w:color="auto"/>
      </w:divBdr>
    </w:div>
    <w:div w:id="618492416">
      <w:bodyDiv w:val="1"/>
      <w:marLeft w:val="0"/>
      <w:marRight w:val="0"/>
      <w:marTop w:val="0"/>
      <w:marBottom w:val="0"/>
      <w:divBdr>
        <w:top w:val="none" w:sz="0" w:space="0" w:color="auto"/>
        <w:left w:val="none" w:sz="0" w:space="0" w:color="auto"/>
        <w:bottom w:val="none" w:sz="0" w:space="0" w:color="auto"/>
        <w:right w:val="none" w:sz="0" w:space="0" w:color="auto"/>
      </w:divBdr>
    </w:div>
    <w:div w:id="646278646">
      <w:bodyDiv w:val="1"/>
      <w:marLeft w:val="0"/>
      <w:marRight w:val="0"/>
      <w:marTop w:val="0"/>
      <w:marBottom w:val="0"/>
      <w:divBdr>
        <w:top w:val="none" w:sz="0" w:space="0" w:color="auto"/>
        <w:left w:val="none" w:sz="0" w:space="0" w:color="auto"/>
        <w:bottom w:val="none" w:sz="0" w:space="0" w:color="auto"/>
        <w:right w:val="none" w:sz="0" w:space="0" w:color="auto"/>
      </w:divBdr>
    </w:div>
    <w:div w:id="659188241">
      <w:bodyDiv w:val="1"/>
      <w:marLeft w:val="0"/>
      <w:marRight w:val="0"/>
      <w:marTop w:val="0"/>
      <w:marBottom w:val="0"/>
      <w:divBdr>
        <w:top w:val="none" w:sz="0" w:space="0" w:color="auto"/>
        <w:left w:val="none" w:sz="0" w:space="0" w:color="auto"/>
        <w:bottom w:val="none" w:sz="0" w:space="0" w:color="auto"/>
        <w:right w:val="none" w:sz="0" w:space="0" w:color="auto"/>
      </w:divBdr>
    </w:div>
    <w:div w:id="684290665">
      <w:bodyDiv w:val="1"/>
      <w:marLeft w:val="0"/>
      <w:marRight w:val="0"/>
      <w:marTop w:val="0"/>
      <w:marBottom w:val="0"/>
      <w:divBdr>
        <w:top w:val="none" w:sz="0" w:space="0" w:color="auto"/>
        <w:left w:val="none" w:sz="0" w:space="0" w:color="auto"/>
        <w:bottom w:val="none" w:sz="0" w:space="0" w:color="auto"/>
        <w:right w:val="none" w:sz="0" w:space="0" w:color="auto"/>
      </w:divBdr>
    </w:div>
    <w:div w:id="723600907">
      <w:bodyDiv w:val="1"/>
      <w:marLeft w:val="0"/>
      <w:marRight w:val="0"/>
      <w:marTop w:val="0"/>
      <w:marBottom w:val="0"/>
      <w:divBdr>
        <w:top w:val="none" w:sz="0" w:space="0" w:color="auto"/>
        <w:left w:val="none" w:sz="0" w:space="0" w:color="auto"/>
        <w:bottom w:val="none" w:sz="0" w:space="0" w:color="auto"/>
        <w:right w:val="none" w:sz="0" w:space="0" w:color="auto"/>
      </w:divBdr>
    </w:div>
    <w:div w:id="735661655">
      <w:bodyDiv w:val="1"/>
      <w:marLeft w:val="0"/>
      <w:marRight w:val="0"/>
      <w:marTop w:val="0"/>
      <w:marBottom w:val="0"/>
      <w:divBdr>
        <w:top w:val="none" w:sz="0" w:space="0" w:color="auto"/>
        <w:left w:val="none" w:sz="0" w:space="0" w:color="auto"/>
        <w:bottom w:val="none" w:sz="0" w:space="0" w:color="auto"/>
        <w:right w:val="none" w:sz="0" w:space="0" w:color="auto"/>
      </w:divBdr>
    </w:div>
    <w:div w:id="739063606">
      <w:bodyDiv w:val="1"/>
      <w:marLeft w:val="0"/>
      <w:marRight w:val="0"/>
      <w:marTop w:val="0"/>
      <w:marBottom w:val="0"/>
      <w:divBdr>
        <w:top w:val="none" w:sz="0" w:space="0" w:color="auto"/>
        <w:left w:val="none" w:sz="0" w:space="0" w:color="auto"/>
        <w:bottom w:val="none" w:sz="0" w:space="0" w:color="auto"/>
        <w:right w:val="none" w:sz="0" w:space="0" w:color="auto"/>
      </w:divBdr>
    </w:div>
    <w:div w:id="764113527">
      <w:bodyDiv w:val="1"/>
      <w:marLeft w:val="0"/>
      <w:marRight w:val="0"/>
      <w:marTop w:val="0"/>
      <w:marBottom w:val="0"/>
      <w:divBdr>
        <w:top w:val="none" w:sz="0" w:space="0" w:color="auto"/>
        <w:left w:val="none" w:sz="0" w:space="0" w:color="auto"/>
        <w:bottom w:val="none" w:sz="0" w:space="0" w:color="auto"/>
        <w:right w:val="none" w:sz="0" w:space="0" w:color="auto"/>
      </w:divBdr>
    </w:div>
    <w:div w:id="765689204">
      <w:bodyDiv w:val="1"/>
      <w:marLeft w:val="0"/>
      <w:marRight w:val="0"/>
      <w:marTop w:val="0"/>
      <w:marBottom w:val="0"/>
      <w:divBdr>
        <w:top w:val="none" w:sz="0" w:space="0" w:color="auto"/>
        <w:left w:val="none" w:sz="0" w:space="0" w:color="auto"/>
        <w:bottom w:val="none" w:sz="0" w:space="0" w:color="auto"/>
        <w:right w:val="none" w:sz="0" w:space="0" w:color="auto"/>
      </w:divBdr>
    </w:div>
    <w:div w:id="783841025">
      <w:bodyDiv w:val="1"/>
      <w:marLeft w:val="0"/>
      <w:marRight w:val="0"/>
      <w:marTop w:val="0"/>
      <w:marBottom w:val="0"/>
      <w:divBdr>
        <w:top w:val="none" w:sz="0" w:space="0" w:color="auto"/>
        <w:left w:val="none" w:sz="0" w:space="0" w:color="auto"/>
        <w:bottom w:val="none" w:sz="0" w:space="0" w:color="auto"/>
        <w:right w:val="none" w:sz="0" w:space="0" w:color="auto"/>
      </w:divBdr>
    </w:div>
    <w:div w:id="785390222">
      <w:bodyDiv w:val="1"/>
      <w:marLeft w:val="0"/>
      <w:marRight w:val="0"/>
      <w:marTop w:val="0"/>
      <w:marBottom w:val="0"/>
      <w:divBdr>
        <w:top w:val="none" w:sz="0" w:space="0" w:color="auto"/>
        <w:left w:val="none" w:sz="0" w:space="0" w:color="auto"/>
        <w:bottom w:val="none" w:sz="0" w:space="0" w:color="auto"/>
        <w:right w:val="none" w:sz="0" w:space="0" w:color="auto"/>
      </w:divBdr>
    </w:div>
    <w:div w:id="803429298">
      <w:bodyDiv w:val="1"/>
      <w:marLeft w:val="0"/>
      <w:marRight w:val="0"/>
      <w:marTop w:val="0"/>
      <w:marBottom w:val="0"/>
      <w:divBdr>
        <w:top w:val="none" w:sz="0" w:space="0" w:color="auto"/>
        <w:left w:val="none" w:sz="0" w:space="0" w:color="auto"/>
        <w:bottom w:val="none" w:sz="0" w:space="0" w:color="auto"/>
        <w:right w:val="none" w:sz="0" w:space="0" w:color="auto"/>
      </w:divBdr>
    </w:div>
    <w:div w:id="830214610">
      <w:bodyDiv w:val="1"/>
      <w:marLeft w:val="0"/>
      <w:marRight w:val="0"/>
      <w:marTop w:val="0"/>
      <w:marBottom w:val="0"/>
      <w:divBdr>
        <w:top w:val="none" w:sz="0" w:space="0" w:color="auto"/>
        <w:left w:val="none" w:sz="0" w:space="0" w:color="auto"/>
        <w:bottom w:val="none" w:sz="0" w:space="0" w:color="auto"/>
        <w:right w:val="none" w:sz="0" w:space="0" w:color="auto"/>
      </w:divBdr>
    </w:div>
    <w:div w:id="857736773">
      <w:bodyDiv w:val="1"/>
      <w:marLeft w:val="0"/>
      <w:marRight w:val="0"/>
      <w:marTop w:val="0"/>
      <w:marBottom w:val="0"/>
      <w:divBdr>
        <w:top w:val="none" w:sz="0" w:space="0" w:color="auto"/>
        <w:left w:val="none" w:sz="0" w:space="0" w:color="auto"/>
        <w:bottom w:val="none" w:sz="0" w:space="0" w:color="auto"/>
        <w:right w:val="none" w:sz="0" w:space="0" w:color="auto"/>
      </w:divBdr>
    </w:div>
    <w:div w:id="862398843">
      <w:bodyDiv w:val="1"/>
      <w:marLeft w:val="0"/>
      <w:marRight w:val="0"/>
      <w:marTop w:val="0"/>
      <w:marBottom w:val="0"/>
      <w:divBdr>
        <w:top w:val="none" w:sz="0" w:space="0" w:color="auto"/>
        <w:left w:val="none" w:sz="0" w:space="0" w:color="auto"/>
        <w:bottom w:val="none" w:sz="0" w:space="0" w:color="auto"/>
        <w:right w:val="none" w:sz="0" w:space="0" w:color="auto"/>
      </w:divBdr>
    </w:div>
    <w:div w:id="876354910">
      <w:bodyDiv w:val="1"/>
      <w:marLeft w:val="0"/>
      <w:marRight w:val="0"/>
      <w:marTop w:val="0"/>
      <w:marBottom w:val="0"/>
      <w:divBdr>
        <w:top w:val="none" w:sz="0" w:space="0" w:color="auto"/>
        <w:left w:val="none" w:sz="0" w:space="0" w:color="auto"/>
        <w:bottom w:val="none" w:sz="0" w:space="0" w:color="auto"/>
        <w:right w:val="none" w:sz="0" w:space="0" w:color="auto"/>
      </w:divBdr>
    </w:div>
    <w:div w:id="955598236">
      <w:bodyDiv w:val="1"/>
      <w:marLeft w:val="0"/>
      <w:marRight w:val="0"/>
      <w:marTop w:val="0"/>
      <w:marBottom w:val="0"/>
      <w:divBdr>
        <w:top w:val="none" w:sz="0" w:space="0" w:color="auto"/>
        <w:left w:val="none" w:sz="0" w:space="0" w:color="auto"/>
        <w:bottom w:val="none" w:sz="0" w:space="0" w:color="auto"/>
        <w:right w:val="none" w:sz="0" w:space="0" w:color="auto"/>
      </w:divBdr>
    </w:div>
    <w:div w:id="958029062">
      <w:bodyDiv w:val="1"/>
      <w:marLeft w:val="0"/>
      <w:marRight w:val="0"/>
      <w:marTop w:val="0"/>
      <w:marBottom w:val="0"/>
      <w:divBdr>
        <w:top w:val="none" w:sz="0" w:space="0" w:color="auto"/>
        <w:left w:val="none" w:sz="0" w:space="0" w:color="auto"/>
        <w:bottom w:val="none" w:sz="0" w:space="0" w:color="auto"/>
        <w:right w:val="none" w:sz="0" w:space="0" w:color="auto"/>
      </w:divBdr>
    </w:div>
    <w:div w:id="975724023">
      <w:bodyDiv w:val="1"/>
      <w:marLeft w:val="0"/>
      <w:marRight w:val="0"/>
      <w:marTop w:val="0"/>
      <w:marBottom w:val="0"/>
      <w:divBdr>
        <w:top w:val="none" w:sz="0" w:space="0" w:color="auto"/>
        <w:left w:val="none" w:sz="0" w:space="0" w:color="auto"/>
        <w:bottom w:val="none" w:sz="0" w:space="0" w:color="auto"/>
        <w:right w:val="none" w:sz="0" w:space="0" w:color="auto"/>
      </w:divBdr>
    </w:div>
    <w:div w:id="989209347">
      <w:bodyDiv w:val="1"/>
      <w:marLeft w:val="0"/>
      <w:marRight w:val="0"/>
      <w:marTop w:val="0"/>
      <w:marBottom w:val="0"/>
      <w:divBdr>
        <w:top w:val="none" w:sz="0" w:space="0" w:color="auto"/>
        <w:left w:val="none" w:sz="0" w:space="0" w:color="auto"/>
        <w:bottom w:val="none" w:sz="0" w:space="0" w:color="auto"/>
        <w:right w:val="none" w:sz="0" w:space="0" w:color="auto"/>
      </w:divBdr>
    </w:div>
    <w:div w:id="998191511">
      <w:bodyDiv w:val="1"/>
      <w:marLeft w:val="0"/>
      <w:marRight w:val="0"/>
      <w:marTop w:val="0"/>
      <w:marBottom w:val="0"/>
      <w:divBdr>
        <w:top w:val="none" w:sz="0" w:space="0" w:color="auto"/>
        <w:left w:val="none" w:sz="0" w:space="0" w:color="auto"/>
        <w:bottom w:val="none" w:sz="0" w:space="0" w:color="auto"/>
        <w:right w:val="none" w:sz="0" w:space="0" w:color="auto"/>
      </w:divBdr>
    </w:div>
    <w:div w:id="1035740072">
      <w:bodyDiv w:val="1"/>
      <w:marLeft w:val="0"/>
      <w:marRight w:val="0"/>
      <w:marTop w:val="0"/>
      <w:marBottom w:val="0"/>
      <w:divBdr>
        <w:top w:val="none" w:sz="0" w:space="0" w:color="auto"/>
        <w:left w:val="none" w:sz="0" w:space="0" w:color="auto"/>
        <w:bottom w:val="none" w:sz="0" w:space="0" w:color="auto"/>
        <w:right w:val="none" w:sz="0" w:space="0" w:color="auto"/>
      </w:divBdr>
    </w:div>
    <w:div w:id="1053887436">
      <w:bodyDiv w:val="1"/>
      <w:marLeft w:val="0"/>
      <w:marRight w:val="0"/>
      <w:marTop w:val="0"/>
      <w:marBottom w:val="0"/>
      <w:divBdr>
        <w:top w:val="none" w:sz="0" w:space="0" w:color="auto"/>
        <w:left w:val="none" w:sz="0" w:space="0" w:color="auto"/>
        <w:bottom w:val="none" w:sz="0" w:space="0" w:color="auto"/>
        <w:right w:val="none" w:sz="0" w:space="0" w:color="auto"/>
      </w:divBdr>
    </w:div>
    <w:div w:id="1108700986">
      <w:bodyDiv w:val="1"/>
      <w:marLeft w:val="0"/>
      <w:marRight w:val="0"/>
      <w:marTop w:val="0"/>
      <w:marBottom w:val="0"/>
      <w:divBdr>
        <w:top w:val="none" w:sz="0" w:space="0" w:color="auto"/>
        <w:left w:val="none" w:sz="0" w:space="0" w:color="auto"/>
        <w:bottom w:val="none" w:sz="0" w:space="0" w:color="auto"/>
        <w:right w:val="none" w:sz="0" w:space="0" w:color="auto"/>
      </w:divBdr>
    </w:div>
    <w:div w:id="1113137708">
      <w:bodyDiv w:val="1"/>
      <w:marLeft w:val="0"/>
      <w:marRight w:val="0"/>
      <w:marTop w:val="0"/>
      <w:marBottom w:val="0"/>
      <w:divBdr>
        <w:top w:val="none" w:sz="0" w:space="0" w:color="auto"/>
        <w:left w:val="none" w:sz="0" w:space="0" w:color="auto"/>
        <w:bottom w:val="none" w:sz="0" w:space="0" w:color="auto"/>
        <w:right w:val="none" w:sz="0" w:space="0" w:color="auto"/>
      </w:divBdr>
    </w:div>
    <w:div w:id="1129475257">
      <w:bodyDiv w:val="1"/>
      <w:marLeft w:val="0"/>
      <w:marRight w:val="0"/>
      <w:marTop w:val="0"/>
      <w:marBottom w:val="0"/>
      <w:divBdr>
        <w:top w:val="none" w:sz="0" w:space="0" w:color="auto"/>
        <w:left w:val="none" w:sz="0" w:space="0" w:color="auto"/>
        <w:bottom w:val="none" w:sz="0" w:space="0" w:color="auto"/>
        <w:right w:val="none" w:sz="0" w:space="0" w:color="auto"/>
      </w:divBdr>
    </w:div>
    <w:div w:id="1136723899">
      <w:bodyDiv w:val="1"/>
      <w:marLeft w:val="0"/>
      <w:marRight w:val="0"/>
      <w:marTop w:val="0"/>
      <w:marBottom w:val="0"/>
      <w:divBdr>
        <w:top w:val="none" w:sz="0" w:space="0" w:color="auto"/>
        <w:left w:val="none" w:sz="0" w:space="0" w:color="auto"/>
        <w:bottom w:val="none" w:sz="0" w:space="0" w:color="auto"/>
        <w:right w:val="none" w:sz="0" w:space="0" w:color="auto"/>
      </w:divBdr>
    </w:div>
    <w:div w:id="1151674573">
      <w:bodyDiv w:val="1"/>
      <w:marLeft w:val="0"/>
      <w:marRight w:val="0"/>
      <w:marTop w:val="0"/>
      <w:marBottom w:val="0"/>
      <w:divBdr>
        <w:top w:val="none" w:sz="0" w:space="0" w:color="auto"/>
        <w:left w:val="none" w:sz="0" w:space="0" w:color="auto"/>
        <w:bottom w:val="none" w:sz="0" w:space="0" w:color="auto"/>
        <w:right w:val="none" w:sz="0" w:space="0" w:color="auto"/>
      </w:divBdr>
    </w:div>
    <w:div w:id="1174027281">
      <w:bodyDiv w:val="1"/>
      <w:marLeft w:val="0"/>
      <w:marRight w:val="0"/>
      <w:marTop w:val="0"/>
      <w:marBottom w:val="0"/>
      <w:divBdr>
        <w:top w:val="none" w:sz="0" w:space="0" w:color="auto"/>
        <w:left w:val="none" w:sz="0" w:space="0" w:color="auto"/>
        <w:bottom w:val="none" w:sz="0" w:space="0" w:color="auto"/>
        <w:right w:val="none" w:sz="0" w:space="0" w:color="auto"/>
      </w:divBdr>
    </w:div>
    <w:div w:id="1202473606">
      <w:bodyDiv w:val="1"/>
      <w:marLeft w:val="0"/>
      <w:marRight w:val="0"/>
      <w:marTop w:val="0"/>
      <w:marBottom w:val="0"/>
      <w:divBdr>
        <w:top w:val="none" w:sz="0" w:space="0" w:color="auto"/>
        <w:left w:val="none" w:sz="0" w:space="0" w:color="auto"/>
        <w:bottom w:val="none" w:sz="0" w:space="0" w:color="auto"/>
        <w:right w:val="none" w:sz="0" w:space="0" w:color="auto"/>
      </w:divBdr>
    </w:div>
    <w:div w:id="1222715057">
      <w:bodyDiv w:val="1"/>
      <w:marLeft w:val="0"/>
      <w:marRight w:val="0"/>
      <w:marTop w:val="0"/>
      <w:marBottom w:val="0"/>
      <w:divBdr>
        <w:top w:val="none" w:sz="0" w:space="0" w:color="auto"/>
        <w:left w:val="none" w:sz="0" w:space="0" w:color="auto"/>
        <w:bottom w:val="none" w:sz="0" w:space="0" w:color="auto"/>
        <w:right w:val="none" w:sz="0" w:space="0" w:color="auto"/>
      </w:divBdr>
    </w:div>
    <w:div w:id="1279484845">
      <w:bodyDiv w:val="1"/>
      <w:marLeft w:val="0"/>
      <w:marRight w:val="0"/>
      <w:marTop w:val="0"/>
      <w:marBottom w:val="0"/>
      <w:divBdr>
        <w:top w:val="none" w:sz="0" w:space="0" w:color="auto"/>
        <w:left w:val="none" w:sz="0" w:space="0" w:color="auto"/>
        <w:bottom w:val="none" w:sz="0" w:space="0" w:color="auto"/>
        <w:right w:val="none" w:sz="0" w:space="0" w:color="auto"/>
      </w:divBdr>
    </w:div>
    <w:div w:id="1294366885">
      <w:bodyDiv w:val="1"/>
      <w:marLeft w:val="0"/>
      <w:marRight w:val="0"/>
      <w:marTop w:val="0"/>
      <w:marBottom w:val="0"/>
      <w:divBdr>
        <w:top w:val="none" w:sz="0" w:space="0" w:color="auto"/>
        <w:left w:val="none" w:sz="0" w:space="0" w:color="auto"/>
        <w:bottom w:val="none" w:sz="0" w:space="0" w:color="auto"/>
        <w:right w:val="none" w:sz="0" w:space="0" w:color="auto"/>
      </w:divBdr>
    </w:div>
    <w:div w:id="1294479697">
      <w:bodyDiv w:val="1"/>
      <w:marLeft w:val="0"/>
      <w:marRight w:val="0"/>
      <w:marTop w:val="0"/>
      <w:marBottom w:val="0"/>
      <w:divBdr>
        <w:top w:val="none" w:sz="0" w:space="0" w:color="auto"/>
        <w:left w:val="none" w:sz="0" w:space="0" w:color="auto"/>
        <w:bottom w:val="none" w:sz="0" w:space="0" w:color="auto"/>
        <w:right w:val="none" w:sz="0" w:space="0" w:color="auto"/>
      </w:divBdr>
    </w:div>
    <w:div w:id="1313219217">
      <w:bodyDiv w:val="1"/>
      <w:marLeft w:val="0"/>
      <w:marRight w:val="0"/>
      <w:marTop w:val="0"/>
      <w:marBottom w:val="0"/>
      <w:divBdr>
        <w:top w:val="none" w:sz="0" w:space="0" w:color="auto"/>
        <w:left w:val="none" w:sz="0" w:space="0" w:color="auto"/>
        <w:bottom w:val="none" w:sz="0" w:space="0" w:color="auto"/>
        <w:right w:val="none" w:sz="0" w:space="0" w:color="auto"/>
      </w:divBdr>
    </w:div>
    <w:div w:id="1341084734">
      <w:bodyDiv w:val="1"/>
      <w:marLeft w:val="0"/>
      <w:marRight w:val="0"/>
      <w:marTop w:val="0"/>
      <w:marBottom w:val="0"/>
      <w:divBdr>
        <w:top w:val="none" w:sz="0" w:space="0" w:color="auto"/>
        <w:left w:val="none" w:sz="0" w:space="0" w:color="auto"/>
        <w:bottom w:val="none" w:sz="0" w:space="0" w:color="auto"/>
        <w:right w:val="none" w:sz="0" w:space="0" w:color="auto"/>
      </w:divBdr>
    </w:div>
    <w:div w:id="1342705631">
      <w:bodyDiv w:val="1"/>
      <w:marLeft w:val="0"/>
      <w:marRight w:val="0"/>
      <w:marTop w:val="0"/>
      <w:marBottom w:val="0"/>
      <w:divBdr>
        <w:top w:val="none" w:sz="0" w:space="0" w:color="auto"/>
        <w:left w:val="none" w:sz="0" w:space="0" w:color="auto"/>
        <w:bottom w:val="none" w:sz="0" w:space="0" w:color="auto"/>
        <w:right w:val="none" w:sz="0" w:space="0" w:color="auto"/>
      </w:divBdr>
    </w:div>
    <w:div w:id="1351880137">
      <w:bodyDiv w:val="1"/>
      <w:marLeft w:val="0"/>
      <w:marRight w:val="0"/>
      <w:marTop w:val="0"/>
      <w:marBottom w:val="0"/>
      <w:divBdr>
        <w:top w:val="none" w:sz="0" w:space="0" w:color="auto"/>
        <w:left w:val="none" w:sz="0" w:space="0" w:color="auto"/>
        <w:bottom w:val="none" w:sz="0" w:space="0" w:color="auto"/>
        <w:right w:val="none" w:sz="0" w:space="0" w:color="auto"/>
      </w:divBdr>
    </w:div>
    <w:div w:id="1385103978">
      <w:bodyDiv w:val="1"/>
      <w:marLeft w:val="0"/>
      <w:marRight w:val="0"/>
      <w:marTop w:val="0"/>
      <w:marBottom w:val="0"/>
      <w:divBdr>
        <w:top w:val="none" w:sz="0" w:space="0" w:color="auto"/>
        <w:left w:val="none" w:sz="0" w:space="0" w:color="auto"/>
        <w:bottom w:val="none" w:sz="0" w:space="0" w:color="auto"/>
        <w:right w:val="none" w:sz="0" w:space="0" w:color="auto"/>
      </w:divBdr>
    </w:div>
    <w:div w:id="1388648383">
      <w:bodyDiv w:val="1"/>
      <w:marLeft w:val="0"/>
      <w:marRight w:val="0"/>
      <w:marTop w:val="0"/>
      <w:marBottom w:val="0"/>
      <w:divBdr>
        <w:top w:val="none" w:sz="0" w:space="0" w:color="auto"/>
        <w:left w:val="none" w:sz="0" w:space="0" w:color="auto"/>
        <w:bottom w:val="none" w:sz="0" w:space="0" w:color="auto"/>
        <w:right w:val="none" w:sz="0" w:space="0" w:color="auto"/>
      </w:divBdr>
    </w:div>
    <w:div w:id="1389303159">
      <w:bodyDiv w:val="1"/>
      <w:marLeft w:val="0"/>
      <w:marRight w:val="0"/>
      <w:marTop w:val="0"/>
      <w:marBottom w:val="0"/>
      <w:divBdr>
        <w:top w:val="none" w:sz="0" w:space="0" w:color="auto"/>
        <w:left w:val="none" w:sz="0" w:space="0" w:color="auto"/>
        <w:bottom w:val="none" w:sz="0" w:space="0" w:color="auto"/>
        <w:right w:val="none" w:sz="0" w:space="0" w:color="auto"/>
      </w:divBdr>
    </w:div>
    <w:div w:id="1409571329">
      <w:bodyDiv w:val="1"/>
      <w:marLeft w:val="0"/>
      <w:marRight w:val="0"/>
      <w:marTop w:val="0"/>
      <w:marBottom w:val="0"/>
      <w:divBdr>
        <w:top w:val="none" w:sz="0" w:space="0" w:color="auto"/>
        <w:left w:val="none" w:sz="0" w:space="0" w:color="auto"/>
        <w:bottom w:val="none" w:sz="0" w:space="0" w:color="auto"/>
        <w:right w:val="none" w:sz="0" w:space="0" w:color="auto"/>
      </w:divBdr>
    </w:div>
    <w:div w:id="1411846302">
      <w:bodyDiv w:val="1"/>
      <w:marLeft w:val="0"/>
      <w:marRight w:val="0"/>
      <w:marTop w:val="0"/>
      <w:marBottom w:val="0"/>
      <w:divBdr>
        <w:top w:val="none" w:sz="0" w:space="0" w:color="auto"/>
        <w:left w:val="none" w:sz="0" w:space="0" w:color="auto"/>
        <w:bottom w:val="none" w:sz="0" w:space="0" w:color="auto"/>
        <w:right w:val="none" w:sz="0" w:space="0" w:color="auto"/>
      </w:divBdr>
    </w:div>
    <w:div w:id="1437408963">
      <w:bodyDiv w:val="1"/>
      <w:marLeft w:val="0"/>
      <w:marRight w:val="0"/>
      <w:marTop w:val="0"/>
      <w:marBottom w:val="0"/>
      <w:divBdr>
        <w:top w:val="none" w:sz="0" w:space="0" w:color="auto"/>
        <w:left w:val="none" w:sz="0" w:space="0" w:color="auto"/>
        <w:bottom w:val="none" w:sz="0" w:space="0" w:color="auto"/>
        <w:right w:val="none" w:sz="0" w:space="0" w:color="auto"/>
      </w:divBdr>
    </w:div>
    <w:div w:id="1471167943">
      <w:bodyDiv w:val="1"/>
      <w:marLeft w:val="0"/>
      <w:marRight w:val="0"/>
      <w:marTop w:val="0"/>
      <w:marBottom w:val="0"/>
      <w:divBdr>
        <w:top w:val="none" w:sz="0" w:space="0" w:color="auto"/>
        <w:left w:val="none" w:sz="0" w:space="0" w:color="auto"/>
        <w:bottom w:val="none" w:sz="0" w:space="0" w:color="auto"/>
        <w:right w:val="none" w:sz="0" w:space="0" w:color="auto"/>
      </w:divBdr>
    </w:div>
    <w:div w:id="1512603003">
      <w:bodyDiv w:val="1"/>
      <w:marLeft w:val="0"/>
      <w:marRight w:val="0"/>
      <w:marTop w:val="0"/>
      <w:marBottom w:val="0"/>
      <w:divBdr>
        <w:top w:val="none" w:sz="0" w:space="0" w:color="auto"/>
        <w:left w:val="none" w:sz="0" w:space="0" w:color="auto"/>
        <w:bottom w:val="none" w:sz="0" w:space="0" w:color="auto"/>
        <w:right w:val="none" w:sz="0" w:space="0" w:color="auto"/>
      </w:divBdr>
    </w:div>
    <w:div w:id="1578860061">
      <w:bodyDiv w:val="1"/>
      <w:marLeft w:val="0"/>
      <w:marRight w:val="0"/>
      <w:marTop w:val="0"/>
      <w:marBottom w:val="0"/>
      <w:divBdr>
        <w:top w:val="none" w:sz="0" w:space="0" w:color="auto"/>
        <w:left w:val="none" w:sz="0" w:space="0" w:color="auto"/>
        <w:bottom w:val="none" w:sz="0" w:space="0" w:color="auto"/>
        <w:right w:val="none" w:sz="0" w:space="0" w:color="auto"/>
      </w:divBdr>
    </w:div>
    <w:div w:id="1583300204">
      <w:bodyDiv w:val="1"/>
      <w:marLeft w:val="0"/>
      <w:marRight w:val="0"/>
      <w:marTop w:val="0"/>
      <w:marBottom w:val="0"/>
      <w:divBdr>
        <w:top w:val="none" w:sz="0" w:space="0" w:color="auto"/>
        <w:left w:val="none" w:sz="0" w:space="0" w:color="auto"/>
        <w:bottom w:val="none" w:sz="0" w:space="0" w:color="auto"/>
        <w:right w:val="none" w:sz="0" w:space="0" w:color="auto"/>
      </w:divBdr>
    </w:div>
    <w:div w:id="1607545541">
      <w:bodyDiv w:val="1"/>
      <w:marLeft w:val="0"/>
      <w:marRight w:val="0"/>
      <w:marTop w:val="0"/>
      <w:marBottom w:val="0"/>
      <w:divBdr>
        <w:top w:val="none" w:sz="0" w:space="0" w:color="auto"/>
        <w:left w:val="none" w:sz="0" w:space="0" w:color="auto"/>
        <w:bottom w:val="none" w:sz="0" w:space="0" w:color="auto"/>
        <w:right w:val="none" w:sz="0" w:space="0" w:color="auto"/>
      </w:divBdr>
    </w:div>
    <w:div w:id="1617980399">
      <w:bodyDiv w:val="1"/>
      <w:marLeft w:val="0"/>
      <w:marRight w:val="0"/>
      <w:marTop w:val="0"/>
      <w:marBottom w:val="0"/>
      <w:divBdr>
        <w:top w:val="none" w:sz="0" w:space="0" w:color="auto"/>
        <w:left w:val="none" w:sz="0" w:space="0" w:color="auto"/>
        <w:bottom w:val="none" w:sz="0" w:space="0" w:color="auto"/>
        <w:right w:val="none" w:sz="0" w:space="0" w:color="auto"/>
      </w:divBdr>
    </w:div>
    <w:div w:id="1628968066">
      <w:bodyDiv w:val="1"/>
      <w:marLeft w:val="0"/>
      <w:marRight w:val="0"/>
      <w:marTop w:val="0"/>
      <w:marBottom w:val="0"/>
      <w:divBdr>
        <w:top w:val="none" w:sz="0" w:space="0" w:color="auto"/>
        <w:left w:val="none" w:sz="0" w:space="0" w:color="auto"/>
        <w:bottom w:val="none" w:sz="0" w:space="0" w:color="auto"/>
        <w:right w:val="none" w:sz="0" w:space="0" w:color="auto"/>
      </w:divBdr>
    </w:div>
    <w:div w:id="1650550205">
      <w:bodyDiv w:val="1"/>
      <w:marLeft w:val="0"/>
      <w:marRight w:val="0"/>
      <w:marTop w:val="0"/>
      <w:marBottom w:val="0"/>
      <w:divBdr>
        <w:top w:val="none" w:sz="0" w:space="0" w:color="auto"/>
        <w:left w:val="none" w:sz="0" w:space="0" w:color="auto"/>
        <w:bottom w:val="none" w:sz="0" w:space="0" w:color="auto"/>
        <w:right w:val="none" w:sz="0" w:space="0" w:color="auto"/>
      </w:divBdr>
    </w:div>
    <w:div w:id="1673487134">
      <w:bodyDiv w:val="1"/>
      <w:marLeft w:val="0"/>
      <w:marRight w:val="0"/>
      <w:marTop w:val="0"/>
      <w:marBottom w:val="0"/>
      <w:divBdr>
        <w:top w:val="none" w:sz="0" w:space="0" w:color="auto"/>
        <w:left w:val="none" w:sz="0" w:space="0" w:color="auto"/>
        <w:bottom w:val="none" w:sz="0" w:space="0" w:color="auto"/>
        <w:right w:val="none" w:sz="0" w:space="0" w:color="auto"/>
      </w:divBdr>
    </w:div>
    <w:div w:id="1679575675">
      <w:bodyDiv w:val="1"/>
      <w:marLeft w:val="0"/>
      <w:marRight w:val="0"/>
      <w:marTop w:val="0"/>
      <w:marBottom w:val="0"/>
      <w:divBdr>
        <w:top w:val="none" w:sz="0" w:space="0" w:color="auto"/>
        <w:left w:val="none" w:sz="0" w:space="0" w:color="auto"/>
        <w:bottom w:val="none" w:sz="0" w:space="0" w:color="auto"/>
        <w:right w:val="none" w:sz="0" w:space="0" w:color="auto"/>
      </w:divBdr>
    </w:div>
    <w:div w:id="1683821547">
      <w:bodyDiv w:val="1"/>
      <w:marLeft w:val="0"/>
      <w:marRight w:val="0"/>
      <w:marTop w:val="0"/>
      <w:marBottom w:val="0"/>
      <w:divBdr>
        <w:top w:val="none" w:sz="0" w:space="0" w:color="auto"/>
        <w:left w:val="none" w:sz="0" w:space="0" w:color="auto"/>
        <w:bottom w:val="none" w:sz="0" w:space="0" w:color="auto"/>
        <w:right w:val="none" w:sz="0" w:space="0" w:color="auto"/>
      </w:divBdr>
    </w:div>
    <w:div w:id="1684235977">
      <w:bodyDiv w:val="1"/>
      <w:marLeft w:val="0"/>
      <w:marRight w:val="0"/>
      <w:marTop w:val="0"/>
      <w:marBottom w:val="0"/>
      <w:divBdr>
        <w:top w:val="none" w:sz="0" w:space="0" w:color="auto"/>
        <w:left w:val="none" w:sz="0" w:space="0" w:color="auto"/>
        <w:bottom w:val="none" w:sz="0" w:space="0" w:color="auto"/>
        <w:right w:val="none" w:sz="0" w:space="0" w:color="auto"/>
      </w:divBdr>
    </w:div>
    <w:div w:id="1717663026">
      <w:bodyDiv w:val="1"/>
      <w:marLeft w:val="0"/>
      <w:marRight w:val="0"/>
      <w:marTop w:val="0"/>
      <w:marBottom w:val="0"/>
      <w:divBdr>
        <w:top w:val="none" w:sz="0" w:space="0" w:color="auto"/>
        <w:left w:val="none" w:sz="0" w:space="0" w:color="auto"/>
        <w:bottom w:val="none" w:sz="0" w:space="0" w:color="auto"/>
        <w:right w:val="none" w:sz="0" w:space="0" w:color="auto"/>
      </w:divBdr>
    </w:div>
    <w:div w:id="1721243496">
      <w:bodyDiv w:val="1"/>
      <w:marLeft w:val="0"/>
      <w:marRight w:val="0"/>
      <w:marTop w:val="0"/>
      <w:marBottom w:val="0"/>
      <w:divBdr>
        <w:top w:val="none" w:sz="0" w:space="0" w:color="auto"/>
        <w:left w:val="none" w:sz="0" w:space="0" w:color="auto"/>
        <w:bottom w:val="none" w:sz="0" w:space="0" w:color="auto"/>
        <w:right w:val="none" w:sz="0" w:space="0" w:color="auto"/>
      </w:divBdr>
    </w:div>
    <w:div w:id="1732383331">
      <w:bodyDiv w:val="1"/>
      <w:marLeft w:val="0"/>
      <w:marRight w:val="0"/>
      <w:marTop w:val="0"/>
      <w:marBottom w:val="0"/>
      <w:divBdr>
        <w:top w:val="none" w:sz="0" w:space="0" w:color="auto"/>
        <w:left w:val="none" w:sz="0" w:space="0" w:color="auto"/>
        <w:bottom w:val="none" w:sz="0" w:space="0" w:color="auto"/>
        <w:right w:val="none" w:sz="0" w:space="0" w:color="auto"/>
      </w:divBdr>
    </w:div>
    <w:div w:id="1783261928">
      <w:bodyDiv w:val="1"/>
      <w:marLeft w:val="0"/>
      <w:marRight w:val="0"/>
      <w:marTop w:val="0"/>
      <w:marBottom w:val="0"/>
      <w:divBdr>
        <w:top w:val="none" w:sz="0" w:space="0" w:color="auto"/>
        <w:left w:val="none" w:sz="0" w:space="0" w:color="auto"/>
        <w:bottom w:val="none" w:sz="0" w:space="0" w:color="auto"/>
        <w:right w:val="none" w:sz="0" w:space="0" w:color="auto"/>
      </w:divBdr>
    </w:div>
    <w:div w:id="1785467166">
      <w:bodyDiv w:val="1"/>
      <w:marLeft w:val="0"/>
      <w:marRight w:val="0"/>
      <w:marTop w:val="0"/>
      <w:marBottom w:val="0"/>
      <w:divBdr>
        <w:top w:val="none" w:sz="0" w:space="0" w:color="auto"/>
        <w:left w:val="none" w:sz="0" w:space="0" w:color="auto"/>
        <w:bottom w:val="none" w:sz="0" w:space="0" w:color="auto"/>
        <w:right w:val="none" w:sz="0" w:space="0" w:color="auto"/>
      </w:divBdr>
    </w:div>
    <w:div w:id="1792086830">
      <w:bodyDiv w:val="1"/>
      <w:marLeft w:val="0"/>
      <w:marRight w:val="0"/>
      <w:marTop w:val="0"/>
      <w:marBottom w:val="0"/>
      <w:divBdr>
        <w:top w:val="none" w:sz="0" w:space="0" w:color="auto"/>
        <w:left w:val="none" w:sz="0" w:space="0" w:color="auto"/>
        <w:bottom w:val="none" w:sz="0" w:space="0" w:color="auto"/>
        <w:right w:val="none" w:sz="0" w:space="0" w:color="auto"/>
      </w:divBdr>
    </w:div>
    <w:div w:id="1821269716">
      <w:bodyDiv w:val="1"/>
      <w:marLeft w:val="0"/>
      <w:marRight w:val="0"/>
      <w:marTop w:val="0"/>
      <w:marBottom w:val="0"/>
      <w:divBdr>
        <w:top w:val="none" w:sz="0" w:space="0" w:color="auto"/>
        <w:left w:val="none" w:sz="0" w:space="0" w:color="auto"/>
        <w:bottom w:val="none" w:sz="0" w:space="0" w:color="auto"/>
        <w:right w:val="none" w:sz="0" w:space="0" w:color="auto"/>
      </w:divBdr>
    </w:div>
    <w:div w:id="1836335942">
      <w:bodyDiv w:val="1"/>
      <w:marLeft w:val="0"/>
      <w:marRight w:val="0"/>
      <w:marTop w:val="0"/>
      <w:marBottom w:val="0"/>
      <w:divBdr>
        <w:top w:val="none" w:sz="0" w:space="0" w:color="auto"/>
        <w:left w:val="none" w:sz="0" w:space="0" w:color="auto"/>
        <w:bottom w:val="none" w:sz="0" w:space="0" w:color="auto"/>
        <w:right w:val="none" w:sz="0" w:space="0" w:color="auto"/>
      </w:divBdr>
    </w:div>
    <w:div w:id="1843625841">
      <w:bodyDiv w:val="1"/>
      <w:marLeft w:val="0"/>
      <w:marRight w:val="0"/>
      <w:marTop w:val="0"/>
      <w:marBottom w:val="0"/>
      <w:divBdr>
        <w:top w:val="none" w:sz="0" w:space="0" w:color="auto"/>
        <w:left w:val="none" w:sz="0" w:space="0" w:color="auto"/>
        <w:bottom w:val="none" w:sz="0" w:space="0" w:color="auto"/>
        <w:right w:val="none" w:sz="0" w:space="0" w:color="auto"/>
      </w:divBdr>
    </w:div>
    <w:div w:id="1872300139">
      <w:bodyDiv w:val="1"/>
      <w:marLeft w:val="0"/>
      <w:marRight w:val="0"/>
      <w:marTop w:val="0"/>
      <w:marBottom w:val="0"/>
      <w:divBdr>
        <w:top w:val="none" w:sz="0" w:space="0" w:color="auto"/>
        <w:left w:val="none" w:sz="0" w:space="0" w:color="auto"/>
        <w:bottom w:val="none" w:sz="0" w:space="0" w:color="auto"/>
        <w:right w:val="none" w:sz="0" w:space="0" w:color="auto"/>
      </w:divBdr>
    </w:div>
    <w:div w:id="1896308047">
      <w:bodyDiv w:val="1"/>
      <w:marLeft w:val="0"/>
      <w:marRight w:val="0"/>
      <w:marTop w:val="0"/>
      <w:marBottom w:val="0"/>
      <w:divBdr>
        <w:top w:val="none" w:sz="0" w:space="0" w:color="auto"/>
        <w:left w:val="none" w:sz="0" w:space="0" w:color="auto"/>
        <w:bottom w:val="none" w:sz="0" w:space="0" w:color="auto"/>
        <w:right w:val="none" w:sz="0" w:space="0" w:color="auto"/>
      </w:divBdr>
    </w:div>
    <w:div w:id="1899052677">
      <w:bodyDiv w:val="1"/>
      <w:marLeft w:val="0"/>
      <w:marRight w:val="0"/>
      <w:marTop w:val="0"/>
      <w:marBottom w:val="0"/>
      <w:divBdr>
        <w:top w:val="none" w:sz="0" w:space="0" w:color="auto"/>
        <w:left w:val="none" w:sz="0" w:space="0" w:color="auto"/>
        <w:bottom w:val="none" w:sz="0" w:space="0" w:color="auto"/>
        <w:right w:val="none" w:sz="0" w:space="0" w:color="auto"/>
      </w:divBdr>
    </w:div>
    <w:div w:id="1907186479">
      <w:bodyDiv w:val="1"/>
      <w:marLeft w:val="0"/>
      <w:marRight w:val="0"/>
      <w:marTop w:val="0"/>
      <w:marBottom w:val="0"/>
      <w:divBdr>
        <w:top w:val="none" w:sz="0" w:space="0" w:color="auto"/>
        <w:left w:val="none" w:sz="0" w:space="0" w:color="auto"/>
        <w:bottom w:val="none" w:sz="0" w:space="0" w:color="auto"/>
        <w:right w:val="none" w:sz="0" w:space="0" w:color="auto"/>
      </w:divBdr>
    </w:div>
    <w:div w:id="1915973292">
      <w:bodyDiv w:val="1"/>
      <w:marLeft w:val="0"/>
      <w:marRight w:val="0"/>
      <w:marTop w:val="0"/>
      <w:marBottom w:val="0"/>
      <w:divBdr>
        <w:top w:val="none" w:sz="0" w:space="0" w:color="auto"/>
        <w:left w:val="none" w:sz="0" w:space="0" w:color="auto"/>
        <w:bottom w:val="none" w:sz="0" w:space="0" w:color="auto"/>
        <w:right w:val="none" w:sz="0" w:space="0" w:color="auto"/>
      </w:divBdr>
    </w:div>
    <w:div w:id="1937247731">
      <w:bodyDiv w:val="1"/>
      <w:marLeft w:val="0"/>
      <w:marRight w:val="0"/>
      <w:marTop w:val="0"/>
      <w:marBottom w:val="0"/>
      <w:divBdr>
        <w:top w:val="none" w:sz="0" w:space="0" w:color="auto"/>
        <w:left w:val="none" w:sz="0" w:space="0" w:color="auto"/>
        <w:bottom w:val="none" w:sz="0" w:space="0" w:color="auto"/>
        <w:right w:val="none" w:sz="0" w:space="0" w:color="auto"/>
      </w:divBdr>
    </w:div>
    <w:div w:id="1953855231">
      <w:bodyDiv w:val="1"/>
      <w:marLeft w:val="0"/>
      <w:marRight w:val="0"/>
      <w:marTop w:val="0"/>
      <w:marBottom w:val="0"/>
      <w:divBdr>
        <w:top w:val="none" w:sz="0" w:space="0" w:color="auto"/>
        <w:left w:val="none" w:sz="0" w:space="0" w:color="auto"/>
        <w:bottom w:val="none" w:sz="0" w:space="0" w:color="auto"/>
        <w:right w:val="none" w:sz="0" w:space="0" w:color="auto"/>
      </w:divBdr>
    </w:div>
    <w:div w:id="1955862009">
      <w:bodyDiv w:val="1"/>
      <w:marLeft w:val="0"/>
      <w:marRight w:val="0"/>
      <w:marTop w:val="0"/>
      <w:marBottom w:val="0"/>
      <w:divBdr>
        <w:top w:val="none" w:sz="0" w:space="0" w:color="auto"/>
        <w:left w:val="none" w:sz="0" w:space="0" w:color="auto"/>
        <w:bottom w:val="none" w:sz="0" w:space="0" w:color="auto"/>
        <w:right w:val="none" w:sz="0" w:space="0" w:color="auto"/>
      </w:divBdr>
    </w:div>
    <w:div w:id="2017880427">
      <w:bodyDiv w:val="1"/>
      <w:marLeft w:val="0"/>
      <w:marRight w:val="0"/>
      <w:marTop w:val="0"/>
      <w:marBottom w:val="0"/>
      <w:divBdr>
        <w:top w:val="none" w:sz="0" w:space="0" w:color="auto"/>
        <w:left w:val="none" w:sz="0" w:space="0" w:color="auto"/>
        <w:bottom w:val="none" w:sz="0" w:space="0" w:color="auto"/>
        <w:right w:val="none" w:sz="0" w:space="0" w:color="auto"/>
      </w:divBdr>
    </w:div>
    <w:div w:id="2121220048">
      <w:bodyDiv w:val="1"/>
      <w:marLeft w:val="0"/>
      <w:marRight w:val="0"/>
      <w:marTop w:val="0"/>
      <w:marBottom w:val="0"/>
      <w:divBdr>
        <w:top w:val="none" w:sz="0" w:space="0" w:color="auto"/>
        <w:left w:val="none" w:sz="0" w:space="0" w:color="auto"/>
        <w:bottom w:val="none" w:sz="0" w:space="0" w:color="auto"/>
        <w:right w:val="none" w:sz="0" w:space="0" w:color="auto"/>
      </w:divBdr>
    </w:div>
    <w:div w:id="2139256258">
      <w:bodyDiv w:val="1"/>
      <w:marLeft w:val="0"/>
      <w:marRight w:val="0"/>
      <w:marTop w:val="0"/>
      <w:marBottom w:val="0"/>
      <w:divBdr>
        <w:top w:val="none" w:sz="0" w:space="0" w:color="auto"/>
        <w:left w:val="none" w:sz="0" w:space="0" w:color="auto"/>
        <w:bottom w:val="none" w:sz="0" w:space="0" w:color="auto"/>
        <w:right w:val="none" w:sz="0" w:space="0" w:color="auto"/>
      </w:divBdr>
    </w:div>
    <w:div w:id="21465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D310199DD225428930B25FF73A6431" ma:contentTypeVersion="2" ma:contentTypeDescription="Creare un nuovo documento." ma:contentTypeScope="" ma:versionID="5fbddde636495052f8acdcc33c58c337">
  <xsd:schema xmlns:xsd="http://www.w3.org/2001/XMLSchema" xmlns:xs="http://www.w3.org/2001/XMLSchema" xmlns:p="http://schemas.microsoft.com/office/2006/metadata/properties" xmlns:ns2="1fb26fd1-bf2f-4e8f-85d8-03184628946f" targetNamespace="http://schemas.microsoft.com/office/2006/metadata/properties" ma:root="true" ma:fieldsID="d122aafb3bcbed67460a9a6bde8964f4" ns2:_="">
    <xsd:import namespace="1fb26fd1-bf2f-4e8f-85d8-0318462894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26fd1-bf2f-4e8f-85d8-031846289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BCDF-F9F8-4655-8957-96F77EFD9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4CD36-0131-47D8-AEFC-BC028E072B87}">
  <ds:schemaRefs>
    <ds:schemaRef ds:uri="http://schemas.microsoft.com/sharepoint/v3/contenttype/forms"/>
  </ds:schemaRefs>
</ds:datastoreItem>
</file>

<file path=customXml/itemProps3.xml><?xml version="1.0" encoding="utf-8"?>
<ds:datastoreItem xmlns:ds="http://schemas.openxmlformats.org/officeDocument/2006/customXml" ds:itemID="{A6892D4D-488A-4F61-B617-2B4F108DA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26fd1-bf2f-4e8f-85d8-03184628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52F86-C491-4C2E-A7C2-F00E04AD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5836</Words>
  <Characters>33268</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Festa</dc:creator>
  <cp:lastModifiedBy>ragioneria1</cp:lastModifiedBy>
  <cp:revision>11</cp:revision>
  <cp:lastPrinted>2019-04-09T13:51:00Z</cp:lastPrinted>
  <dcterms:created xsi:type="dcterms:W3CDTF">2019-05-15T20:46:00Z</dcterms:created>
  <dcterms:modified xsi:type="dcterms:W3CDTF">2019-05-16T07:33:00Z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0x01010007D310199DD225428930B25FF73A6431</vt:lpwstr>
  </property>
</Properties>
</file>